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THƯƠNG</w:t>
            </w:r>
            <w:r>
              <w:rPr>
                <w:b/>
              </w:rPr>
              <w:br/>
            </w:r>
            <w:r>
              <w:rPr>
                <w:b/>
              </w:rPr>
              <w:t xml:space="preserve">------------------</w:t>
            </w:r>
          </w:p>
          <w:p>
            <w:pPr>
              <w:pStyle w:val="Normal(Web)"/>
              <w:divId w:val="2"/>
              <w:jc w:val="center"/>
              <w:rPr>
                <w:vanish w:val="0"/>
              </w:rPr>
            </w:pPr>
            <w:r>
              <w:t xml:space="preserve">Số: </w:t>
            </w:r>
            <w:hyperlink r:id="rId3" w:history="1">
              <w:r>
                <w:rPr>
                  <w:rStyle w:val="Hyperlink"/>
                </w:rPr>
                <w:t xml:space="preserve">20/2011/TT-BCT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12 tháng 5 năm 2011</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QUY ĐỊNH BỔ SUNG THỦ TỤC NHẬP KHẨU XE Ô TÔ CHỞ NGƯỜI LOẠI </w:t>
      </w:r>
    </w:p>
    <w:p>
      <w:pPr>
        <w:pStyle w:val="Normal(Web)"/>
        <w:divId w:val="7"/>
        <w:jc w:val="center"/>
        <w:rPr>
          <w:vanish w:val="0"/>
        </w:rPr>
      </w:pPr>
      <w:r>
        <w:rPr>
          <w:b/>
        </w:rPr>
        <w:t xml:space="preserve">TỪ 09 CHỖ NGỒI TRỞ XUỐNG</w:t>
      </w:r>
    </w:p>
    <w:p>
      <w:pPr>
        <w:pStyle w:val="Normal(Web)"/>
        <w:divId w:val="8"/>
        <w:rPr>
          <w:vanish w:val="0"/>
        </w:rPr>
      </w:pPr>
      <w:r>
        <w:rPr>
          <w:i/>
        </w:rPr>
        <w:t xml:space="preserve">Căn cứ Nghị định số </w:t>
      </w:r>
      <w:hyperlink r:id="rId4" w:history="1">
        <w:r>
          <w:rPr>
            <w:rStyle w:val="Hyperlink"/>
            <w:i/>
          </w:rPr>
          <w:t xml:space="preserve">189/2007/NĐ-CP </w:t>
        </w:r>
      </w:hyperlink>
      <w:r>
        <w:rPr>
          <w:i/>
        </w:rPr>
        <w:t xml:space="preserve"> ngày 27 tháng 12 năm 2007 của Chính phủ quy định chức năng, nhiệm vụ, quyền hạn và cơ cấu tổ chức của Bộ Công Thương;</w:t>
      </w:r>
    </w:p>
    <w:p>
      <w:pPr>
        <w:pStyle w:val="Normal(Web)"/>
        <w:divId w:val="9"/>
        <w:rPr>
          <w:vanish w:val="0"/>
        </w:rPr>
      </w:pPr>
      <w:r>
        <w:rPr>
          <w:i/>
        </w:rPr>
        <w:t xml:space="preserve">Căn cứ Nghị định số </w:t>
      </w:r>
      <w:hyperlink r:id="rId5" w:history="1">
        <w:r>
          <w:rPr>
            <w:rStyle w:val="Hyperlink"/>
            <w:i/>
          </w:rPr>
          <w:t xml:space="preserve">12/2006/NĐ-CP </w:t>
        </w:r>
      </w:hyperlink>
      <w:r>
        <w:rPr>
          <w:i/>
        </w:rPr>
        <w:t xml:space="preserve"> ngày 23 tháng 01 năm 2006 của Chính phủ quy định chi tiết thi hành Luật Thương mại về hoạt động mua bán hàng hoá quốc tế và các hoạt động đại lý mua, bán, gia công và quá cảnh hàng hoá với nước ngoài;</w:t>
      </w:r>
    </w:p>
    <w:p>
      <w:pPr>
        <w:pStyle w:val="Normal(Web)"/>
        <w:divId w:val="10"/>
        <w:rPr>
          <w:vanish w:val="0"/>
        </w:rPr>
      </w:pPr>
      <w:r>
        <w:rPr>
          <w:i/>
        </w:rPr>
        <w:t xml:space="preserve">Căn cứ Nghị quyết số 11/NQ-CP ngày 24 tháng 02 năm 2010 của Chính phủ về những giải pháp chủ yếu tập trung kiềm chế lạm phát, ổn định kinh tế vĩ mô, bảo đảm an sinh xã hội;</w:t>
      </w:r>
    </w:p>
    <w:p>
      <w:pPr>
        <w:pStyle w:val="Normal(Web)"/>
        <w:divId w:val="11"/>
        <w:rPr>
          <w:vanish w:val="0"/>
        </w:rPr>
      </w:pPr>
      <w:r>
        <w:rPr>
          <w:i/>
        </w:rPr>
        <w:t xml:space="preserve">Nhằm bảo vệ quyền lợi người tiêu dùng và an toàn giao thông đường bộ,</w:t>
      </w:r>
      <w:r>
        <w:rPr>
          <w:i/>
        </w:rPr>
        <w:br/>
      </w:r>
      <w:r>
        <w:rPr>
          <w:i/>
        </w:rPr>
        <w:t xml:space="preserve">Bộ Công Thương quy định bổ sung thủ tục nhập khẩu ô tô chở người loại từ 09 chỗ ngồi trở xuống chưa qua sử dụng (dưới đây gọi là ô tô từ 09 chỗ ngồi trở xuống) như sau:</w:t>
      </w:r>
    </w:p>
    <w:p>
      <w:pPr>
        <w:pStyle w:val="Normal(Web)"/>
        <w:divId w:val="12"/>
        <w:rPr>
          <w:vanish w:val="0"/>
        </w:rPr>
      </w:pPr>
      <w:r>
        <w:rPr>
          <w:b/>
        </w:rPr>
        <w:t xml:space="preserve">Điều 1.</w:t>
      </w:r>
      <w:r>
        <w:t xml:space="preserve"> Thủ tục nhập khẩu bổ sung</w:t>
      </w:r>
    </w:p>
    <w:p>
      <w:pPr>
        <w:pStyle w:val="Normal(Web)"/>
        <w:divId w:val="13"/>
        <w:rPr>
          <w:vanish w:val="0"/>
        </w:rPr>
      </w:pPr>
      <w:r>
        <w:t xml:space="preserve">Thương nhân nhập khẩu ô tô từ 09 chỗ ngồi trở xuống khi làm thủ tục nhập khẩu, ngoài việc thực hiện các quy định hiện hành, phải nộp bổ sung những giấy tờ sau cho các cơ quan nhà nước có thẩm quyền:</w:t>
      </w:r>
    </w:p>
    <w:p>
      <w:pPr>
        <w:pStyle w:val="Normal(Web)"/>
        <w:divId w:val="14"/>
        <w:rPr>
          <w:vanish w:val="0"/>
        </w:rPr>
      </w:pPr>
      <w:r>
        <w:t xml:space="preserve">1. Giấy chỉ định hoặc Giấy ủy quyền là nhà nhập khẩu, nhà phân phối của chính hãng sản xuất, kinh doanh loại ô tô đó hoặc hợp đồng đại lý của chính hãng sản xuất, kinh doanh loại ô tô đó đã được cơ quan đại diện ngoại giao Việt Nam ở nước ngoài hợp pháp hoá lãnh sự theo quy định của pháp luật: 01 (một) bản sao có xác nhận và đóng dấu sao y bản chính của thương nhân.</w:t>
      </w:r>
    </w:p>
    <w:p>
      <w:pPr>
        <w:pStyle w:val="Normal(Web)"/>
        <w:divId w:val="15"/>
        <w:rPr>
          <w:vanish w:val="0"/>
        </w:rPr>
      </w:pPr>
      <w:r>
        <w:t xml:space="preserve">2. Giấy chứng nhận cơ sở bảo hành, bảo dưỡng ô tô đủ điều kiện do Bộ Giao thông vận tải cấp: 01 (một) bản sao có xác nhận và đóng dấu sao y bản chính của thương nhân.</w:t>
      </w:r>
    </w:p>
    <w:p>
      <w:pPr>
        <w:pStyle w:val="Normal(Web)"/>
        <w:divId w:val="16"/>
        <w:rPr>
          <w:vanish w:val="0"/>
        </w:rPr>
      </w:pPr>
      <w:r>
        <w:rPr>
          <w:b/>
        </w:rPr>
        <w:t xml:space="preserve">Điều 2.</w:t>
      </w:r>
      <w:r>
        <w:t xml:space="preserve"> Hiệu lực thi hành</w:t>
      </w:r>
    </w:p>
    <w:p>
      <w:pPr>
        <w:pStyle w:val="Normal(Web)"/>
        <w:divId w:val="17"/>
        <w:rPr>
          <w:vanish w:val="0"/>
        </w:rPr>
      </w:pPr>
      <w:r>
        <w:t xml:space="preserve">Thông tư này có hiệu lực thi hành kể từ ngày 26 tháng 6 năm 2011./.</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8"/>
              <w:rPr>
                <w:vanish w:val="0"/>
              </w:rPr>
            </w:pPr>
            <w:r>
              <w:rPr>
                <w:b/>
                <w:i/>
              </w:rPr>
              <w:t xml:space="preserve">Nơi nhận:</w:t>
            </w:r>
            <w:r>
              <w:rPr/>
              <w:br/>
            </w:r>
            <w:r>
              <w:t xml:space="preserve">- Ban Bí thư T.W Đảng;</w:t>
            </w:r>
            <w:r>
              <w:rPr/>
              <w:br/>
            </w:r>
            <w:r>
              <w:t xml:space="preserve">- Thủ tướng Chính phủ,các Phó Thủ tướng;</w:t>
            </w:r>
            <w:r>
              <w:rPr/>
              <w:br/>
            </w:r>
            <w:r>
              <w:t xml:space="preserve">- Các Bộ, cơ quan ngang Bộ, cơ quan thuộc Chính phủ;</w:t>
            </w:r>
            <w:r>
              <w:rPr/>
              <w:br/>
            </w:r>
            <w:r>
              <w:t xml:space="preserve">- UBND các tỉnh, thành phố trực thuộc TW;</w:t>
            </w:r>
            <w:r>
              <w:rPr/>
              <w:br/>
            </w:r>
            <w:r>
              <w:t xml:space="preserve">- Văn phòng Chủ tịch nước; </w:t>
            </w:r>
            <w:r>
              <w:rPr/>
              <w:br/>
            </w:r>
            <w:r>
              <w:t xml:space="preserve">- Văn phòng Quốc hội;</w:t>
            </w:r>
            <w:r>
              <w:rPr/>
              <w:br/>
            </w:r>
            <w:r>
              <w:t xml:space="preserve">- Viện Kiểm sát Nhân dân Tối cao;</w:t>
            </w:r>
            <w:r>
              <w:rPr/>
              <w:br/>
            </w:r>
            <w:r>
              <w:t xml:space="preserve">- Toà án Nhân dân Tối cao;</w:t>
            </w:r>
            <w:r>
              <w:rPr/>
              <w:br/>
            </w:r>
            <w:r>
              <w:t xml:space="preserve">- Cục Kiểm tra văn bản (Bộ Tư pháp);</w:t>
            </w:r>
            <w:r>
              <w:rPr/>
              <w:br/>
            </w:r>
            <w:r>
              <w:t xml:space="preserve">- Kiểm toán Nhà nước;</w:t>
            </w:r>
            <w:r>
              <w:rPr/>
              <w:br/>
            </w:r>
            <w:r>
              <w:t xml:space="preserve">- Tổng cục Hải quan;</w:t>
            </w:r>
            <w:r>
              <w:rPr/>
              <w:br/>
            </w:r>
            <w:r>
              <w:t xml:space="preserve">- Bộ trưởng, các Thứ trưởng;</w:t>
            </w:r>
            <w:r>
              <w:rPr/>
              <w:br/>
            </w:r>
            <w:r>
              <w:t xml:space="preserve">- Các đơn vị trực thuộc Bộ Công Thương;</w:t>
            </w:r>
            <w:r>
              <w:rPr/>
              <w:br/>
            </w:r>
            <w:r>
              <w:t xml:space="preserve">- Lưu: VT, XNK(2).</w:t>
            </w:r>
          </w:p>
        </w:tc>
        <w:tc>
          <w:tcPr>
            <w:tcW w:w="0" w:type="auto"/>
            <w:shd w:val="clear" w:color="auto" w:fill="auto"/>
            <w:vAlign w:val="center"/>
          </w:tcPr>
          <w:p>
            <w:pPr>
              <w:pStyle w:val="Normal(Web)"/>
              <w:divId w:val="19"/>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Thành Biên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0-2011-tt-bct-cua-bo-cong-thuong---quy-dinh-bo-sung-thu-tuc-nhap-khau-xe-o-to-cho-nguoi-loai-tu-09-cho-ngoi-tro-xuong.aspx" TargetMode="External" /><Relationship Id="rId4" Type="http://schemas.openxmlformats.org/officeDocument/2006/relationships/hyperlink" Target="/nghi-dinh-so-189-2007-nd-cp-cua-chinh-phu---quy-dinh-chuc-nang--nhiem-vu--quyen-han-va-co-cau-to-chuc-cua-bo-cong-thuong.aspx" TargetMode="External" /><Relationship Id="rId5" Type="http://schemas.openxmlformats.org/officeDocument/2006/relationships/hyperlink" Target="/nghi-dinh-so-12-2006-nd-cp-ve-hoat-dong-mua-ban-hang-hoa-quoc-te.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2022-06-21T15:57:02Z</dcterms:created>
  <dcterms:modified xsi:type="dcterms:W3CDTF">2022-06-21T15:57:02Z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2022-06-21T15:57:02Z</dcterms:created>
  <dcterms:modified xsi:type="dcterms:W3CDTF">2022-06-21T15:57:02Z</dcterms:modified>
</cp:coreProperties>
</file>