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07/2013/TT-BNV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31</w:t>
            </w:r>
            <w:r>
              <w:rPr>
                <w:i/>
              </w:rPr>
              <w:t xml:space="preserve"> tháng </w:t>
            </w:r>
            <w:r>
              <w:rPr>
                <w:i/>
              </w:rPr>
              <w:t xml:space="preserve">07</w:t>
            </w:r>
            <w:r>
              <w:rPr>
                <w:i/>
              </w:rPr>
              <w:t xml:space="preserve"> năm </w:t>
            </w:r>
            <w:r>
              <w:rPr>
                <w:i/>
              </w:rPr>
              <w:t xml:space="preserve">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HIỆNMỨC LƯƠNG CƠ SỞ ĐỐI VỚI CÁC ĐỐI TƯỢNG HƯỞNG LƯƠNG, PHỤ CẤP TRONG CÁC CƠ QUAN,ĐƠN VỊ SỰ NGHIỆP CÔNG LẬP CỦA ĐẢNG, NHÀ NƯỚC, TỔ CHỨC CHÍNH TRỊ - XÃ HỘI VÀ HỘICÓ TÍNH CHẤT ĐẶC THÙ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6</w:t>
      </w:r>
      <w:r>
        <w:rPr>
          <w:i/>
        </w:rPr>
        <w:t xml:space="preserve">1</w:t>
      </w:r>
      <w:r>
        <w:rPr>
          <w:i/>
        </w:rPr>
        <w:t xml:space="preserve">/20</w:t>
      </w:r>
      <w:r>
        <w:rPr>
          <w:i/>
        </w:rPr>
        <w:t xml:space="preserve">1</w:t>
      </w:r>
      <w:r>
        <w:rPr>
          <w:i/>
        </w:rPr>
        <w:t xml:space="preserve">2/NĐ-CP ngày 10 th</w:t>
      </w:r>
      <w:r>
        <w:rPr>
          <w:i/>
        </w:rPr>
        <w:t xml:space="preserve">á</w:t>
      </w:r>
      <w:r>
        <w:rPr>
          <w:i/>
        </w:rPr>
        <w:t xml:space="preserve">ng 8 năm 20</w:t>
      </w:r>
      <w:r>
        <w:rPr>
          <w:i/>
        </w:rPr>
        <w:t xml:space="preserve">1</w:t>
      </w:r>
      <w:r>
        <w:rPr>
          <w:i/>
        </w:rPr>
        <w:t xml:space="preserve">2 của Ch</w:t>
      </w:r>
      <w:r>
        <w:rPr>
          <w:i/>
        </w:rPr>
        <w:t xml:space="preserve">í</w:t>
      </w:r>
      <w:r>
        <w:rPr>
          <w:i/>
        </w:rPr>
        <w:t xml:space="preserve">nh phủ quy định chức năng, nhiệm vụ, q</w:t>
      </w:r>
      <w:r>
        <w:rPr>
          <w:i/>
        </w:rPr>
        <w:t xml:space="preserve">u</w:t>
      </w:r>
      <w:r>
        <w:rPr>
          <w:i/>
        </w:rPr>
        <w:t xml:space="preserve">yềnhạn và cơ cẩu tổ 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Khoản </w:t>
      </w:r>
      <w:r>
        <w:rPr>
          <w:i/>
        </w:rPr>
        <w:t xml:space="preserve">1 </w:t>
      </w:r>
      <w:r>
        <w:rPr>
          <w:i/>
        </w:rPr>
        <w:t xml:space="preserve">Điều 6 Nghị định số 66/20</w:t>
      </w:r>
      <w:r>
        <w:rPr>
          <w:i/>
        </w:rPr>
        <w:t xml:space="preserve">1</w:t>
      </w:r>
      <w:r>
        <w:rPr>
          <w:i/>
        </w:rPr>
        <w:t xml:space="preserve">3/NĐ-CP ngày 27tháng 6 năm 20</w:t>
      </w:r>
      <w:r>
        <w:rPr>
          <w:i/>
        </w:rPr>
        <w:t xml:space="preserve">1</w:t>
      </w:r>
      <w:r>
        <w:rPr>
          <w:i/>
        </w:rPr>
        <w:t xml:space="preserve">3 của Chính phủ q</w:t>
      </w:r>
      <w:r>
        <w:rPr>
          <w:i/>
        </w:rPr>
        <w:t xml:space="preserve">u</w:t>
      </w:r>
      <w:r>
        <w:rPr>
          <w:i/>
        </w:rPr>
        <w:t xml:space="preserve">y định mức lương cơ sở đ</w:t>
      </w:r>
      <w:r>
        <w:rPr>
          <w:i/>
        </w:rPr>
        <w:t xml:space="preserve">ố</w:t>
      </w:r>
      <w:r>
        <w:rPr>
          <w:i/>
        </w:rPr>
        <w:t xml:space="preserve">i với c</w:t>
      </w:r>
      <w:r>
        <w:rPr>
          <w:i/>
        </w:rPr>
        <w:t xml:space="preserve">á</w:t>
      </w:r>
      <w:r>
        <w:rPr>
          <w:i/>
        </w:rPr>
        <w:t xml:space="preserve">n bộ, công chức, viên chức và lực </w:t>
      </w:r>
      <w:r>
        <w:rPr>
          <w:i/>
        </w:rPr>
        <w:t xml:space="preserve">l</w:t>
      </w:r>
      <w:r>
        <w:rPr>
          <w:i/>
        </w:rPr>
        <w:t xml:space="preserve">ượng vũtrang;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trao đổi với Ban T</w:t>
      </w:r>
      <w:r>
        <w:rPr>
          <w:i/>
        </w:rPr>
        <w:t xml:space="preserve">ổ</w:t>
      </w:r>
      <w:r>
        <w:rPr>
          <w:i/>
        </w:rPr>
        <w:t xml:space="preserve">chức Trung ương, Bộ Tài ch</w:t>
      </w:r>
      <w:r>
        <w:rPr>
          <w:i/>
        </w:rPr>
        <w:t xml:space="preserve">í</w:t>
      </w:r>
      <w:r>
        <w:rPr>
          <w:i/>
        </w:rPr>
        <w:t xml:space="preserve">nh và cáccơ quan </w:t>
      </w:r>
      <w:r>
        <w:rPr>
          <w:i/>
        </w:rPr>
        <w:t xml:space="preserve">liên quan</w:t>
      </w:r>
      <w:r>
        <w:rPr>
          <w:i/>
        </w:rPr>
        <w:t xml:space="preserve">, Bộ trưởng Bộ Nội vụ ban hànhThông tư hư</w:t>
      </w:r>
      <w:r>
        <w:rPr>
          <w:i/>
        </w:rPr>
        <w:t xml:space="preserve">ớ</w:t>
      </w:r>
      <w:r>
        <w:rPr>
          <w:i/>
        </w:rPr>
        <w:t xml:space="preserve">ng dẫn thực hiện mức lương cơ sở đổivới các đối tượng hưởng lương, phụ cấp trong các cơ quan, đơn vị sự nghiệp công</w:t>
      </w:r>
      <w:r>
        <w:rPr>
          <w:i/>
        </w:rPr>
        <w:t xml:space="preserve">l</w:t>
      </w:r>
      <w:r>
        <w:rPr>
          <w:i/>
        </w:rPr>
        <w:t xml:space="preserve">ập của Đ</w:t>
      </w:r>
      <w:r>
        <w:rPr>
          <w:i/>
        </w:rPr>
        <w:t xml:space="preserve">ả</w:t>
      </w:r>
      <w:r>
        <w:rPr>
          <w:i/>
        </w:rPr>
        <w:t xml:space="preserve">ng, Nhà nước,t</w:t>
      </w:r>
      <w:r>
        <w:rPr>
          <w:i/>
        </w:rPr>
        <w:t xml:space="preserve">ổ</w:t>
      </w:r>
      <w:r>
        <w:rPr>
          <w:i/>
        </w:rPr>
        <w:t xml:space="preserve">chức chính trị - xã hội và hội có tính chất đ</w:t>
      </w:r>
      <w:r>
        <w:rPr>
          <w:i/>
        </w:rPr>
        <w:t xml:space="preserve">ặ</w:t>
      </w:r>
      <w:r>
        <w:rPr>
          <w:i/>
        </w:rPr>
        <w:t xml:space="preserve">c thù</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Cán bộ, công chức hưởng lương từngân sách nhà nước làm việc trong các cơ quan Đảng, Nhà nước, tổ chức chính trị- xã hội ở Trung ương; ở tỉnh, thành phố trực thuộc Trung ương; ở huyện, quận,thị xã, thành phố thuộc t</w:t>
      </w:r>
      <w:r>
        <w:t xml:space="preserve">ỉ</w:t>
      </w:r>
      <w:r>
        <w:t xml:space="preserve">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Công chức trong bộ máy lãnh đạo,quản lý và viên ch</w:t>
      </w:r>
      <w:r>
        <w:t xml:space="preserve">ứ</w:t>
      </w:r>
      <w:r>
        <w:t xml:space="preserve">c hưởng lương từ quỹ lương của đ</w:t>
      </w:r>
      <w:r>
        <w:t xml:space="preserve">ơn</w:t>
      </w:r>
      <w:r>
        <w:t xml:space="preserve">vị sự nghiệp công </w:t>
      </w:r>
      <w:r>
        <w:t xml:space="preserve">l</w:t>
      </w:r>
      <w:r>
        <w:t xml:space="preserve">ập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Cán bộ, công chức, viên chức hưởnglương theo bảng lương do Nhà nước quy định được cấp có thẩm quyền quyết địnhđến làm việc tại các hội, tổ chức phi Chính phủ, dự án và cơ quan, tổ chức quốctế đặt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Cán bộ, công chức ở xã, phường,thị trấn và những người hoạt động không chuyên trách </w:t>
      </w:r>
      <w:r>
        <w:t xml:space="preserve">ở </w:t>
      </w:r>
      <w:r>
        <w:t xml:space="preserve">cấpxã, ở thôn, tổ dân phố quy định tại Nghị định số </w:t>
      </w:r>
      <w:hyperlink r:id="rId3" w:history="1">
        <w:r>
          <w:rPr>
            <w:rStyle w:val="Hyperlink"/>
          </w:rPr>
          <w:t xml:space="preserve">92/2009/NĐ-CP </w:t>
        </w:r>
      </w:hyperlink>
      <w:r>
        <w:t xml:space="preserve"> ngày 22 tháng 10năm 2009 của Chính phủ về chức danh, số lượng, một số chế độ, chính sách đối v</w:t>
      </w:r>
      <w:r>
        <w:t xml:space="preserve">ớ</w:t>
      </w:r>
      <w:r>
        <w:t xml:space="preserve">i cán bộ, công chức ở xã, phường, thị</w:t>
      </w:r>
      <w:r>
        <w:t xml:space="preserve"> t</w:t>
      </w:r>
      <w:r>
        <w:t xml:space="preserve">rấn vànhững người hoạt động không chuyên trách ở cấp xã đã được sửa đổi, bổ sung tạiNghị định số </w:t>
      </w:r>
      <w:hyperlink r:id="rId4" w:history="1">
        <w:r>
          <w:rPr>
            <w:rStyle w:val="Hyperlink"/>
          </w:rPr>
          <w:t xml:space="preserve">29/2013/NĐ-CP </w:t>
        </w:r>
      </w:hyperlink>
      <w:r>
        <w:t xml:space="preserve"> ngày 08 tháng 4 năm 2013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Giáo viên mầm non hưởng lương theoquy định tại Quyết định số 60/2011/QĐ-TTg ngày 26 tháng 10 năm 2011 của Thủtướng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Cán bộ y tế xã, phường, thị trấnhưởng lương theo quy định tại Quyết định số 58/TTg ngày 03 tháng 02 năm 1994 vàQuyết định số 131/TTg ngày 04 tháng 3 năm 1995 của Th</w:t>
      </w:r>
      <w:r>
        <w:t xml:space="preserve">ủ</w:t>
      </w:r>
      <w:r>
        <w:t xml:space="preserve"> tư</w:t>
      </w:r>
      <w:r>
        <w:t xml:space="preserve">ớ</w:t>
      </w:r>
      <w:r>
        <w:t xml:space="preserve">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Đại biểu Hộ</w:t>
      </w:r>
      <w:r>
        <w:t xml:space="preserve">i </w:t>
      </w:r>
      <w:r>
        <w:t xml:space="preserve">đồngnhân dân các c</w:t>
      </w:r>
      <w:r>
        <w:t xml:space="preserve">ấ</w:t>
      </w:r>
      <w:r>
        <w:t xml:space="preserve">p hưởng hoạt động phí theo quy định tạiKhoản 2 Điều 75 Quy chế hoạt động của Hội đồng nhân dân các c</w:t>
      </w:r>
      <w:r>
        <w:t xml:space="preserve">ấ</w:t>
      </w:r>
      <w:r>
        <w:t xml:space="preserve">p ban hành kèm theo Nghị quyết s</w:t>
      </w:r>
      <w:r>
        <w:t xml:space="preserve">ố </w:t>
      </w:r>
      <w:r>
        <w:t xml:space="preserve"> 753/2005/NQ-UBTVQH11 ngày 02 tháng 4 năm 2005 của</w:t>
      </w:r>
      <w:r>
        <w:t xml:space="preserve">Ủy </w:t>
      </w:r>
      <w:r>
        <w:t xml:space="preserve">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Người làm việc trong tổ chức cơyếu.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t xml:space="preserve">Các đối tượng sau đây cũng thuộcphạm vi áp dụng Thông tư này để tính đóng, hưởng chế độ bảo hiểm xã hội và giảiquyết các chế độ liên quan đến tiền lương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Cán bộ, công chức, viên chức đihọc, thực tập, công tác, điều trị, điều dưỡng trong nước và ngoài nước thuộc </w:t>
      </w:r>
      <w:r>
        <w:t xml:space="preserve">d</w:t>
      </w:r>
      <w:r>
        <w:t xml:space="preserve">anh sách trả lương của cơ quan Đảng, Nhà nước, tổ chức chính trị - xãhội, đơn vị sự nghiệp công lập và hội </w:t>
      </w:r>
      <w:r>
        <w:t xml:space="preserve">có tính </w:t>
      </w:r>
      <w:r>
        <w:t xml:space="preserve">chất đặc thù;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Người đang </w:t>
      </w:r>
      <w:r>
        <w:t xml:space="preserve">tr</w:t>
      </w:r>
      <w:r>
        <w:t xml:space="preserve">ongthời gian tập sự hoặc thử việc (kể cả tập sự công chức cấp xã) trong cơ quanĐảng, Nhà nước, tổ chức chính trị - xã hội, </w:t>
      </w:r>
      <w:r>
        <w:t xml:space="preserve">đơn </w:t>
      </w:r>
      <w:r>
        <w:t xml:space="preserve">vị sựnghiệp công lập và hội có tính chất đặc thù;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Cán bộ, công chức, viên chức đangbị tạm đình chỉ công tác, đang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Các đối tượng làm việc trong cáccơ quan Đảng, Nhà nước, tổ chức chính trị - xã hội, đơn vị sự nghiệp công lậpvà hội có tính chất đặc thù được ký kết hợp đồng lao động theo bảng lương banhành kèm theo Nghị định số </w:t>
      </w:r>
      <w:hyperlink r:id="rId5" w:history="1">
        <w:r>
          <w:rPr>
            <w:rStyle w:val="Hyperlink"/>
          </w:rPr>
          <w:t xml:space="preserve">204/2004/NĐ-CP </w:t>
        </w:r>
      </w:hyperlink>
      <w:r>
        <w:t xml:space="preserve"> ngày 14 tháng 12 năm 2004 của Chínhphủ về chế độ tiền lương đối với cán bộ, công chức, viên chức và lực lượng vũtrang.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chức chính trị - xã hội quyđịnh tại Thông tư này là các tổ chức quy định tại Điều 1 Quyết định số128-QĐ/TW ngày 14 tháng 12 năm 2004 của Ban Bí thư Trung ương Đảng về chế độtiền lương đối với cán bộ, công ch</w:t>
      </w:r>
      <w:r>
        <w:t xml:space="preserve">ứ</w:t>
      </w:r>
      <w:r>
        <w:t xml:space="preserve">c, viên chức cơ quanĐảng, Mặt trận và các đoàn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Hội có tính chất đặc thù quy địnhtại Thông tư này là các hội quy định tại Điều 33 Nghị định số </w:t>
      </w:r>
      <w:hyperlink r:id="rId6" w:history="1">
        <w:r>
          <w:rPr>
            <w:rStyle w:val="Hyperlink"/>
          </w:rPr>
          <w:t xml:space="preserve">45/2010/NĐ-CP </w:t>
        </w:r>
      </w:hyperlink>
      <w:r>
        <w:t xml:space="preserve"> ngày 21 tháng 4 năm 2010 của Chính phủ quy định về tổ chức, hoạt động và quảnlý hội và Quyết định số 68/2010/QĐ-TTg ngày 01 tháng 11 năm 2010 của Thủ tướngChính phủ về việc quy định hội có tính chất đặc thù.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cơ quan, đ</w:t>
      </w:r>
      <w:r>
        <w:t xml:space="preserve">ơn </w:t>
      </w:r>
      <w:r>
        <w:t xml:space="preserve">vị, tổ chức và hội quy định tại Thông tư này sau đây gọi chung là cơquan, đ</w:t>
      </w:r>
      <w:r>
        <w:t xml:space="preserve">ơn </w:t>
      </w:r>
      <w:r>
        <w:t xml:space="preserve">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Cách tính mức lương, phụcấp và hoạt động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với cán bộ, công chức, viênchức và người lao động quy định tại các Khoản 1, 2, 3, 4, 5 và 6 Đi</w:t>
      </w:r>
      <w:r>
        <w:t xml:space="preserve">ề</w:t>
      </w:r>
      <w:r>
        <w:t xml:space="preserve">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hệ số lương và phụ cấphiện hưởng quy định tại Nghị quyết số 730/2004/NQ-UBTVQH11 ngày 30 tháng 9 năm2004, Nghị quyết số 1003/2006/NQ- </w:t>
      </w:r>
      <w:r>
        <w:t xml:space="preserve">U</w:t>
      </w:r>
      <w:r>
        <w:t xml:space="preserve">BTVQH11 ngày 03 tháng 3năm 2006, Nghị quyết số 794/2009/NQ-UBTVQH12 ngày 22 tháng 6 năm 2009, Nghịquyết số 823/2009/UBTVQH12 ngày 03 tháng 10 năm 2009, Nghị quyết số888NQ/ 2010/UBTVQH12 ngày 05 tháng 3 năm 2010 và Nghị quyết số 555/NQ-UBTVQH13 ngày 28 tháng 12 năm 2012 của Ủ</w:t>
      </w:r>
      <w:r>
        <w:t xml:space="preserve">y </w:t>
      </w:r>
      <w:r>
        <w:t xml:space="preserve">ban thường vụ Quốc hội;Quyết định số 128-QĐ/TW ngày 14 tháng 12 năm 2004 và Quyết định số 275-QĐ/TWngày 04 tháng 12 năm 2009 của Ban B</w:t>
      </w:r>
      <w:r>
        <w:t xml:space="preserve">í </w:t>
      </w:r>
      <w:r>
        <w:t xml:space="preserve">thư Trung ương Đ</w:t>
      </w:r>
      <w:r>
        <w:t xml:space="preserve">ả</w:t>
      </w:r>
      <w:r>
        <w:t xml:space="preserve">ng; Nghị định số 204/2004/NĐ-CP ngày 14 tháng 12 năm 2004, Nghị định số 76/2009/NĐ-CP ngày 15 tháng 9 năm 2009, Nghị định số 92/2009/NĐ-CP ngày 22tháng 10 năm 2009, Nghị định số 116/2010/NĐ-CP ngày 24 tháng 12 năm 2010, Nghịđịnh số 14/2012/NĐ-CP ngày 07 tháng 3 năm 2012, Nghị định số 17/2013/NĐ-CP ngày19 tháng 02 năm 2013 và mức lương cơ s</w:t>
      </w:r>
      <w:r>
        <w:t xml:space="preserve">ở </w:t>
      </w:r>
      <w:r>
        <w:t xml:space="preserve">quy định tại Nghịđịnh số </w:t>
      </w:r>
      <w:hyperlink r:id="rId7" w:history="1">
        <w:r>
          <w:rPr>
            <w:rStyle w:val="Hyperlink"/>
          </w:rPr>
          <w:t xml:space="preserve">66/2013/NĐ-CP </w:t>
        </w:r>
      </w:hyperlink>
      <w:r>
        <w:t xml:space="preserve"> ngày 27 tháng 6 năm 2013 của Chính phủ quy định mức lươngcơ sở đối với cán bộ, công chức, viên chức và lực lượng vũ trang (sau đây viếttắt là Nghị định số 66/2013/NĐ-CP ) để tính mức lương, mức phụ cấp và mức tiềncủa hệ số chênh lệch bảo lưu (nếu có)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Công thức tính mức lương: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thực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1.150.000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hiện hưởng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Công thức tính mức phụ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w:t>
      </w:r>
      <w:r>
        <w:t xml:space="preserve">ố</w:t>
      </w:r>
      <w:r>
        <w:t xml:space="preserve">i với cáckhoản phụ cấp tính theo mức lương cơ sở:</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1.150.000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hiện hưởng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khoản phụ cấp tính theo % mức lươnghiện hưởng cộng phụ cấp chức vụ lãnh đạo và phụ cấp thâm niên vượt khung (nếucó):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thực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chức vụ lãnh đạo thực hiện từ ngày 01 tháng 7 năm 2013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thâm niên vượt khung thực hiện từ ngày 01 tháng 07 năm 2013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phụ cấp được hưởng theo quy định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khoản phụ cấp quy địnhbằng mức tiền cụ thể thì giữ nguyên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Công thức tính mức tiền của hệ s</w:t>
      </w:r>
      <w:r>
        <w:t xml:space="preserve">ố</w:t>
      </w:r>
      <w:r>
        <w:t xml:space="preserve">chênh lệch bảo lưu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tiền của hệ số chênh lệch bảo lưu thực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1.150.000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chênh lệch bảo lưu hiện hưởng (nếu có)</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Đối với đại biểu Hội đồng nhân dâncác cấp quy định tại Khoản 7 Điều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hệ số hoạt động phí đốivới đại biểu Hội đồng nhân dân các cấp quy định tại Khoản 2 Điều 75 Quy chếhoạt động của Hội đồng nhân dân các cấp ban hành kèm theo Nghị quyết số 753/2005/NQ- </w:t>
      </w:r>
      <w:r>
        <w:t xml:space="preserve">U</w:t>
      </w:r>
      <w:r>
        <w:t xml:space="preserve">BTVQH11 ngày 02 tháng 4 năm 2005 của </w:t>
      </w:r>
      <w:r>
        <w:t xml:space="preserve">Ủy</w:t>
      </w:r>
      <w:r>
        <w:t xml:space="preserve">ban thường vụ Quốc hội để tính mức hoạt động phí theo công thứcsau: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hoạt động phí thực hiện từ ngày 01 tháng 7 năm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1.150.000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hoạt động phí theo quy định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Đối với những người hoạt độngkhông chuyên trách ở cấp xã, ở thôn, tổ dân phố quy định tại Khoản 4 Điều 1Thông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01 tháng 7 năm 2013, quỹ phụcấp được ngân sách Trung ương khoán đối với mỗi cấp xã, mỗi thôn, tổ dân phốquy định tại Khoản 3 và Khoản 4 Điều 1 Nghị định s</w:t>
      </w:r>
      <w:r>
        <w:t xml:space="preserve">ố</w:t>
      </w:r>
      <w:r>
        <w:t xml:space="preserve">29/2013/NĐ-CP ng</w:t>
      </w:r>
      <w:r>
        <w:t xml:space="preserve">à</w:t>
      </w:r>
      <w:r>
        <w:t xml:space="preserve">y 08 tháng 4 năm 2013 của Chính phủ đượctính theo mức lương cơ sở 1.150.000 đồng/tháng. Việc quy định cụ thể mức phụcấp đối với các đối tượng này thực hiện theo quy định tại Khoản 5 Điều 1 Ng</w:t>
      </w:r>
      <w:r>
        <w:t xml:space="preserve">hị</w:t>
      </w:r>
      <w:r>
        <w:t xml:space="preserve">định số 29/2013/NĐ-CP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Đối với người làm việc trong tổchức cơ yếu quy định tại Khoản 8 Điều 1 Thông tư này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Người làm </w:t>
      </w:r>
      <w:r>
        <w:t xml:space="preserve">việc trong </w:t>
      </w:r>
      <w:r>
        <w:t xml:space="preserve">tổ chức cơ yếu thuộc phạm vi quản lý của Bộ Quốc </w:t>
      </w:r>
      <w:r>
        <w:t xml:space="preserve">phòng</w:t>
      </w:r>
      <w:r>
        <w:t xml:space="preserve"> và </w:t>
      </w:r>
      <w:r>
        <w:t xml:space="preserve">Bộ Công </w:t>
      </w:r>
      <w:r>
        <w:t xml:space="preserve">an thực hiện theo hướng dẫn của Bộ trưởngBộ Quốc</w:t>
      </w:r>
      <w:r>
        <w:t xml:space="preserve"> phòng và Bộ trưởng </w:t>
      </w:r>
      <w:r>
        <w:t xml:space="preserve">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Người làm việc </w:t>
      </w:r>
      <w:r>
        <w:t xml:space="preserve">tro</w:t>
      </w:r>
      <w:r>
        <w:t xml:space="preserve">ng tổ chức cơ y</w:t>
      </w:r>
      <w:r>
        <w:t xml:space="preserve">ế</w:t>
      </w:r>
      <w:r>
        <w:t xml:space="preserve">u trong các cơ quan Đảng, Nhànước, tổ chức chính trị - xã hội (không thuộc phạm vi quản lý của Bộ Qu</w:t>
      </w:r>
      <w:r>
        <w:t xml:space="preserve">ố</w:t>
      </w:r>
      <w:r>
        <w:t xml:space="preserve">c phòng và Bộ Công an), thực hiện tính mức lương, mức phụ cấp và mứctiền của hệ số chênh lệch bảo lưu (nếu có) theo cách tính quy định tại Khoản 1Điều 3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 th</w:t>
      </w:r>
      <w:r>
        <w:rPr>
          <w:b/>
        </w:rPr>
        <w:t xml:space="preserve">i</w:t>
      </w:r>
      <w:r>
        <w:rPr>
          <w:b/>
        </w:rPr>
        <w:t xml:space="preserve">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Thông tư này c</w:t>
      </w:r>
      <w:r>
        <w:t xml:space="preserve">ó </w:t>
      </w:r>
      <w:r>
        <w:t xml:space="preserve">hiệu lực thi hành kể từ ngày 15 tháng 9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Mức lương, phụ cấp (kể cả hệ sốchênh lệch bảo lưu, nếu có) và hoạt động phí của các đối tượng quy định tạiĐiều 1 Thông tư này được tính theo mức lương cơ s</w:t>
      </w:r>
      <w:r>
        <w:t xml:space="preserve">ở </w:t>
      </w:r>
      <w:r>
        <w:t xml:space="preserve">1.150.000đồng/tháng từ ngày 01 tháng 7 năm 2013 và thay thế mức lương tối thiểu chungquy định tại Thông tư liên tịch số </w:t>
      </w:r>
      <w:hyperlink r:id="rId8" w:history="1">
        <w:r>
          <w:rPr>
            <w:rStyle w:val="Hyperlink"/>
          </w:rPr>
          <w:t xml:space="preserve">01/2012/TTLT-BNV-BTC </w:t>
        </w:r>
      </w:hyperlink>
      <w:r>
        <w:t xml:space="preserve"> ngày 16 tháng 5 năm2012 của Bộ Nội vụ và Bộ Tài chính hướng dẫn thực hiện mức lương tối thiểuchung t</w:t>
      </w:r>
      <w:r>
        <w:t xml:space="preserve">ừ </w:t>
      </w:r>
      <w:r>
        <w:t xml:space="preserve">ngày 01 tháng 5 năm 2012 đối với cơ quan nhànước, tổ chức chính trị, tổ chức chính trị - xã hội và đơn vị sự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khoản trích và các chế độ đượchưởng tính theo mức lương tối thiểu chung được tính lại theo mức lương cơ sở từngày 01 tháng 7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w:t>
      </w:r>
      <w:r>
        <w:rPr>
          <w:b/>
        </w:rPr>
        <w:t xml:space="preserve">nhiệm thi</w:t>
      </w:r>
      <w:r>
        <w:rPr>
          <w:b/>
        </w:rPr>
        <w:t xml:space="preserve">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Người đứng đầu cơ quan, đơn vịtrực tiếp quản lý các đ</w:t>
      </w:r>
      <w:r>
        <w:t xml:space="preserve">ối </w:t>
      </w:r>
      <w:r>
        <w:t xml:space="preserve">tượng hưởng lương, phụ cấp vàhoạt động phí quy định tại Điều 1 Thông tư này, căn c</w:t>
      </w:r>
      <w:r>
        <w:t xml:space="preserve">ứ </w:t>
      </w:r>
      <w:r>
        <w:t xml:space="preserve">vàosố đối tượng đến ngày 01 tháng 7 năm 2013 để tính mức lương, mức phụ cấp, mứctiền của hệ số chênh lệch bảo lưu (nếu có) và hoạt động phí theo hướng dẫn tạiThông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Việc xác định nhu cầu, nguồn vàphương thức chi thực hiện mức lương cơ sở theo Nghị định số 66/2013/NĐ-CP thựchiện theo hướng dẫn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cóvướng mắc, đề nghị các Bộ, ngành, địa phương phản ánh về Bộ Nội vụ để nghiêncứu, giải quyết./</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Ban Bí thư Trung ư</w:t>
            </w:r>
            <w:r>
              <w:t xml:space="preserve">ơng </w:t>
            </w:r>
            <w:r>
              <w:t xml:space="preserve">Đảng;</w:t>
            </w:r>
            <w:r>
              <w:rPr/>
              <w:br/>
            </w:r>
            <w:r>
              <w:t xml:space="preserve">- </w:t>
            </w:r>
            <w:r>
              <w:t xml:space="preserve">Thủ tướng, các Phó Th</w:t>
            </w:r>
            <w:r>
              <w:t xml:space="preserve">ủ</w:t>
            </w:r>
            <w:r>
              <w:t xml:space="preserve"> </w:t>
            </w:r>
            <w:r>
              <w:t xml:space="preserve">tướng Chính phủ;</w:t>
            </w:r>
            <w:r>
              <w:rPr/>
              <w:br/>
            </w:r>
            <w:r>
              <w:t xml:space="preserve">- </w:t>
            </w:r>
            <w:r>
              <w:t xml:space="preserve">Các Bộ, cơ quan ngang Bộ, cơ quan thuộc Ch</w:t>
            </w:r>
            <w:r>
              <w:t xml:space="preserve">í</w:t>
            </w:r>
            <w:r>
              <w:t xml:space="preserve">nh phủ;</w:t>
            </w:r>
            <w:r>
              <w:rPr/>
              <w:br/>
            </w:r>
            <w:r>
              <w:t xml:space="preserve">- </w:t>
            </w:r>
            <w:r>
              <w:t xml:space="preserve">HĐND, </w:t>
            </w:r>
            <w:r>
              <w:t xml:space="preserve">U</w:t>
            </w:r>
            <w:r>
              <w:t xml:space="preserve">BND các tỉnh, TP trực thuộc TW;</w:t>
            </w:r>
            <w:r>
              <w:rPr/>
              <w:br/>
            </w:r>
            <w:r>
              <w:t xml:space="preserve">- </w:t>
            </w:r>
            <w:r>
              <w:t xml:space="preserve">V</w:t>
            </w:r>
            <w:r>
              <w:t xml:space="preserve">ă</w:t>
            </w:r>
            <w:r>
              <w:t xml:space="preserve">n phòng Trung ương và các Ban c</w:t>
            </w:r>
            <w:r>
              <w:t xml:space="preserve">ủ</w:t>
            </w:r>
            <w:r>
              <w:t xml:space="preserve">a Trung </w:t>
            </w:r>
            <w:r>
              <w:t xml:space="preserve">ươn</w:t>
            </w:r>
            <w:r>
              <w:t xml:space="preserve">g Đảng;</w:t>
            </w:r>
            <w:r>
              <w:rPr/>
              <w:br/>
            </w:r>
            <w:r>
              <w:t xml:space="preserve">- </w:t>
            </w:r>
            <w:r>
              <w:t xml:space="preserve">Văn phòng Chủ tịch nước;</w:t>
            </w:r>
            <w:r>
              <w:rPr/>
              <w:br/>
            </w:r>
            <w:r>
              <w:t xml:space="preserve">- </w:t>
            </w:r>
            <w:r>
              <w:t xml:space="preserve">Văn phòng Quốc hội;</w:t>
            </w:r>
            <w:r>
              <w:rPr/>
              <w:br/>
            </w:r>
            <w:r>
              <w:t xml:space="preserve">- </w:t>
            </w:r>
            <w:r>
              <w:t xml:space="preserve">Hội đồng Dân tộc và các </w:t>
            </w:r>
            <w:r>
              <w:t xml:space="preserve">Ủy</w:t>
            </w:r>
            <w:r>
              <w:t xml:space="preserve"> </w:t>
            </w:r>
            <w:r>
              <w:t xml:space="preserve">ban của Quốc hội;</w:t>
            </w:r>
            <w:r>
              <w:rPr/>
              <w:br/>
            </w:r>
            <w:r>
              <w:t xml:space="preserve">- </w:t>
            </w:r>
            <w:r>
              <w:t xml:space="preserve">Tò</w:t>
            </w:r>
            <w:r>
              <w:t xml:space="preserve">a</w:t>
            </w:r>
            <w:r>
              <w:t xml:space="preserve"> </w:t>
            </w:r>
            <w:r>
              <w:t xml:space="preserve">án nhân dân tối </w:t>
            </w:r>
            <w:r>
              <w:t xml:space="preserve">c</w:t>
            </w:r>
            <w:r>
              <w:t xml:space="preserve">ao;</w:t>
            </w:r>
            <w:r>
              <w:rPr/>
              <w:br/>
            </w:r>
            <w:r>
              <w:t xml:space="preserve">- </w:t>
            </w:r>
            <w:r>
              <w:t xml:space="preserve">Viện </w:t>
            </w:r>
            <w:r>
              <w:t xml:space="preserve">k</w:t>
            </w:r>
            <w:r>
              <w:t xml:space="preserve">iểm sát nhân dân tối cao;</w:t>
            </w:r>
            <w:r>
              <w:rPr/>
              <w:br/>
            </w:r>
            <w:r>
              <w:t xml:space="preserve">- </w:t>
            </w:r>
            <w:r>
              <w:t xml:space="preserve">Kiểm toán Nhà nước;</w:t>
            </w:r>
            <w:r>
              <w:rPr/>
              <w:br/>
            </w:r>
            <w:r>
              <w:t xml:space="preserve">- Ủy</w:t>
            </w:r>
            <w:r>
              <w:t xml:space="preserve"> ban Giám s</w:t>
            </w:r>
            <w:r>
              <w:t xml:space="preserve">á</w:t>
            </w:r>
            <w:r>
              <w:t xml:space="preserve">t tài chính Quốc gia;</w:t>
            </w:r>
            <w:r>
              <w:rPr/>
              <w:br/>
            </w:r>
            <w:r>
              <w:t xml:space="preserve">- </w:t>
            </w:r>
            <w:r>
              <w:t xml:space="preserve">UBTW Mặt trận Tổ quốc Việt Nam;</w:t>
            </w:r>
            <w:r>
              <w:rPr/>
              <w:br/>
            </w:r>
            <w:r>
              <w:t xml:space="preserve">- </w:t>
            </w:r>
            <w:r>
              <w:t xml:space="preserve">Cơ quan TW của các đoàn thể;</w:t>
            </w:r>
            <w:r>
              <w:rPr/>
              <w:br/>
            </w:r>
            <w:r>
              <w:t xml:space="preserve">- </w:t>
            </w:r>
            <w:r>
              <w:t xml:space="preserve">Bộ Tư pháp (Cục Ki</w:t>
            </w:r>
            <w:r>
              <w:t xml:space="preserve">ể</w:t>
            </w:r>
            <w:r>
              <w:t xml:space="preserve">m tra văn bản);</w:t>
            </w:r>
            <w:r>
              <w:rPr/>
              <w:br/>
            </w:r>
            <w:r>
              <w:t xml:space="preserve">- </w:t>
            </w:r>
            <w:r>
              <w:t xml:space="preserve">Công báo;</w:t>
            </w:r>
            <w:r>
              <w:rPr/>
              <w:br/>
            </w:r>
            <w:r>
              <w:t xml:space="preserve">- </w:t>
            </w:r>
            <w:r>
              <w:t xml:space="preserve">Cổng thông tin điện tử Chính phủ;</w:t>
            </w:r>
            <w:r>
              <w:rPr/>
              <w:br/>
            </w:r>
            <w:r>
              <w:t xml:space="preserve">- </w:t>
            </w:r>
            <w:r>
              <w:t xml:space="preserve">Trang thông t</w:t>
            </w:r>
            <w:r>
              <w:t xml:space="preserve">i</w:t>
            </w:r>
            <w:r>
              <w:t xml:space="preserve">n điện tử của Bộ Nội vụ;</w:t>
            </w:r>
            <w:r>
              <w:rPr/>
              <w:br/>
            </w:r>
            <w:r>
              <w:t xml:space="preserve">- </w:t>
            </w:r>
            <w:r>
              <w:t xml:space="preserve">Bộ trưởng và các Thứ trưởng;</w:t>
            </w:r>
            <w:r>
              <w:rPr/>
              <w:br/>
            </w:r>
            <w:r>
              <w:t xml:space="preserve">- </w:t>
            </w:r>
            <w:r>
              <w:t xml:space="preserve">Các </w:t>
            </w:r>
            <w:r>
              <w:t xml:space="preserve">đơn</w:t>
            </w:r>
            <w:r>
              <w:t xml:space="preserve"> </w:t>
            </w:r>
            <w:r>
              <w:t xml:space="preserve">vị thuộc và trực thuộc Bộ Nội vụ;</w:t>
            </w:r>
            <w:r>
              <w:rPr/>
              <w:br/>
            </w:r>
            <w:r>
              <w:t xml:space="preserve">- </w:t>
            </w:r>
            <w:r>
              <w:t xml:space="preserve">Lưu: VT, Vụ TL (10)</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Duy Thăng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2-2009-nd-cp-ve-chuc-danh--so-luong--mot-so-che-do--chinh-sach-doi-voi-can-bo--cong-chuc-o-xa--phuong--thi-tran-va-nhung-nguoi-hoat-dong-khong-chuyen-trach-o-cap-xa.aspx" TargetMode="External" /><Relationship Id="rId4" Type="http://schemas.openxmlformats.org/officeDocument/2006/relationships/hyperlink" Target="/nghi-dinh-29-2013-nd-cp.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yperlink" Target="/nghi-dinh-45-2010-nd-cp-quy-dinh-ve-to-chuc--hoat-dong-va-quan-ly-hoi.aspx" TargetMode="External" /><Relationship Id="rId7" Type="http://schemas.openxmlformats.org/officeDocument/2006/relationships/hyperlink" Target="/nghi-dinh-so-66-2013-nd-cp-cua-chinh-phu---quy-dinh-muc-luong-co-so-doi-voi-can-bo--cong-chuc--vien-chuc-va-luc-luong-vu-trang.aspx" TargetMode="External" /><Relationship Id="rId8" Type="http://schemas.openxmlformats.org/officeDocument/2006/relationships/hyperlink" Target="/thong-tu-lien-tich-so-01-2012-ttlt-bnv-btc-cua-bo-tai-chinh-bo-noi-vu---huong-dan-thuc-hien-muc-luong-toi-thieu-chung-tu-ngay-01-thang-5-nam-2012--doi-voi-co-quan-nha-nuoc--to-chuc-chinh-tri--to-ch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2022-06-21T16:46:36Z</dcterms:created>
  <dcterms:modified xsi:type="dcterms:W3CDTF">2022-06-21T16:46:36Z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2022-06-21T16:46:36Z</dcterms:created>
  <dcterms:modified xsi:type="dcterms:W3CDTF">2022-06-21T16:46:36Z</dcterms:modified>
</cp:coreProperties>
</file>