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 VIỆT NAM</w:t>
            </w:r>
            <w:r>
              <w:t xml:space="preserve"> Số: </w:t>
            </w:r>
            <w:hyperlink r:id="rId3" w:history="1">
              <w:r>
                <w:rPr>
                  <w:rStyle w:val="Hyperlink"/>
                </w:rPr>
                <w:t xml:space="preserve">12/2010/TT-NHNN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14 tháng 4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Hướng dẫn tổ chức tín dụng cho vay bằng đồng Việt Nam đối với khách hàng theo lãi suất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Ngân hàng Nhà nước Việt Nam năm 1997; Luật sửa đổi, bổ sung một số Điều của Luật Ngân hàng Nhà nước Việt Nam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Các tổ chức tín dụng năm 1997; Luật sửa đổi, bổ sung một số điều của Luật Các tổ chức tín dụng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quyết số 23/2008/NQ-QH12 ngày 06 tháng 11 năm 2008 của Quốc hội về kế hoạch phát triển kinh tế - xã hội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w:t>
      </w:r>
      <w:hyperlink r:id="rId4" w:history="1">
        <w:r>
          <w:rPr>
            <w:rStyle w:val="Hyperlink"/>
          </w:rPr>
          <w:t xml:space="preserve">96/2008/NĐ-CP </w:t>
        </w:r>
      </w:hyperlink>
      <w:r>
        <w:t xml:space="preserve"> ngày 26 tháng 8 năm 2008 của Chính phủ quy định chức năng, nhiệm vụ, quyền hạn và cơ cấu tổ chức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quyết số 12/NQ-CP ngày 07 tháng 3 năm 2010 của Chính phủ về Phiên họp Chính phủ thường kỳ tháng 02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quyết số 18/NQ-CP ngày 06 tháng 4 năm 2010 của Chính phủ về những giải pháp bảo đảm ổn định kinh tế vĩ mô, không để lạm phát cao và đạt tốc độ tăng trưởng kinh tế khoảng 6,5% trong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ý kiến chỉ đạo của Thủ tướng Chính phủ tại văn bản số 627/VPCP-KTTH ngày 23 tháng 01 năm 2009 của Văn phòng Chính phủ về việc áp dụng lãi suất cho vay thỏa thuận của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Ngân hàng Nhà nước Việt Nam hướng dẫn tổ chức tín dụng cho vay bằng đồng Việt Nam đối với khách hàng theo lãi suất thỏa thuận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 </w:t>
      </w:r>
      <w:r>
        <w:t xml:space="preserve">Tổ chức tín dụng thực hiện cho vay bằng đồng Việt Nam theo lãi suất thỏa thuận đối với khách hàng nhằm đáp ứng nhu cầu vốn của dự án, phương án sản xuất, kinh doanh, dịch vụ, đầu tư phát triển và đời sống có hiệu quả.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 </w:t>
      </w:r>
      <w:r>
        <w:t xml:space="preserve">Tổ chức tín dụng niêm yết công khai lãi suất cho vay ở mức hợp lý, trên cơ sở cung - cầu vốn thị trường, nhu cầu vay vốn và mức độ tín nhiệm của khách hàng vay, tiết kiệm chi phí hoạt động, tạo điều kiện cho khách hàng tiếp cận vốn vay để phát triển sản xuất - kinh doanh, nhất là khu vực nông nghiệp và nông thôn, doanh nghiệp xuất khẩu, doanh nghiệp nhỏ và vừa; điều chỉnh lãi suất cho vay phù hợp với mức biến động của lãi suất huy động vốn bằng đồng Việt Nam và mục tiêu, giải pháp điều hành chính sách tiền tệ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 </w:t>
      </w:r>
      <w:r>
        <w:t xml:space="preserve">Tổ chức tín dụng báo cáo Ngân hàng Nhà nước Việt Nam về lãi suất cho vay bằng đồng Việt Nam theo phụ lục kèm theo Thông tư này và các văn bản của tổ chức tín dụng quy định về lãi suất cho vay ngay sau khi ban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 </w:t>
      </w:r>
      <w:r>
        <w:t xml:space="preserve">Thông tư này có hiệu lực thi hành kể từ ngày ký. Các quy định của Ngân hàng Nhà nước Việt Nam về lãi suất cho vay bằng đồng Việt Nam của tổ chức tín dụng đối với khách hàng hết hiệu lực thi hành, bao gồm: Thông tư số </w:t>
      </w:r>
      <w:hyperlink r:id="rId5" w:history="1">
        <w:r>
          <w:rPr>
            <w:rStyle w:val="Hyperlink"/>
          </w:rPr>
          <w:t xml:space="preserve">07/2010/TT-NHNN </w:t>
        </w:r>
      </w:hyperlink>
      <w:r>
        <w:t xml:space="preserve"> ngày 26 tháng 02 năm 2010 quy định về cho vay bằng đồng Việt Nam theo lãi suất thỏa thuận của các tổ chức tín dụng đối với khách hàng và các văn bản hướng dẫn thực hiện Thông tư này; quy định về lãi suất cho vay theo Quyết định số 16/2008/QĐ-NHNN ngày 16 tháng 5 năm 2008 về cơ chế điều hành lãi suất cơ bản bằng đồng Việt Nam; Quyết định số 33/2008/QĐ-NHNN ngày 03 tháng 12 năm 2008 về mức lãi suất cho vay bằng đồng Việt Nam của Quỹ tín dụng nhân dân cơ sở đối với khách hàng. Đối với các hợp đồng tín dụng được ký kết trước ngày Thông tư này có hiệu lực thi hành, tổ chức tín dụng và khách hàng vay tiếp tục thực hiện theo hợp đồng tín dụng đã ký kết; hoặc tổ chức tín dụng và khách hàng vay thỏa thuận sửa đổi, bổ sung hợp đồng tín dụng phù hợp với quy định của Thông tư này và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 </w:t>
      </w:r>
      <w:r>
        <w:t xml:space="preserve">Chánh Văn phòng, Vụ trưởng Vụ Chính sách tiền tệ và Thủ trưởng các đơn vị thuộc Ngân hàng Nhà nước Việt Nam, Giám đốc Ngân hàng Nhà nước chi nhánh các tỉnh, thành phố trực thuộc Trung ương; Chủ tịch Hội đồng quản trị và Tổng giám đốc (Giám đốc) tổ chức tín dụng, khách hàng vay vốn tại tổ chức tín dụng chịu trách nhiệm thi hành Thông tư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đốc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Giàu</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2-2010-tt-nhnn-cua-ngan-hang-nha-nuoc-viet-nam---huong-dan-to-chuc-tin-dung-cho-vay-bang-dong-viet-nam-doi-voi-khach-hang-theo-lai-suat-thoa-thuan.aspx" TargetMode="External" /><Relationship Id="rId4" Type="http://schemas.openxmlformats.org/officeDocument/2006/relationships/hyperlink" Target="/nghi-dinh-so-96-2008-nd-cp-cua-chinh-phu---quy-dinh-chuc-nang--nhiem-vu--quyen-han-va-co-cau-to-chuc-cua-ngan-hang-nha-nuoc-viet-nam.aspx" TargetMode="External" /><Relationship Id="rId5" Type="http://schemas.openxmlformats.org/officeDocument/2006/relationships/hyperlink" Target="/thong-tu-so-07-2010-tt-nhnn-cua-ngan-hang-nha-nuoc-viet-nam---quy-dinh-ve-cho-vay-bang-dong-viet-nam-theo-lai-suat-thoa-thuan-cua-to-chuc-tin-dung-doi-voi-khach-ha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2022-06-21T12:46:52Z</dcterms:created>
  <dcterms:modified xsi:type="dcterms:W3CDTF">2022-06-21T12:46:52Z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2022-06-21T12:46:52Z</dcterms:created>
  <dcterms:modified xsi:type="dcterms:W3CDTF">2022-06-21T12:46:52Z</dcterms:modified>
</cp:coreProperties>
</file>