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NGUYÊN VÀ MÔI TRƯỜNG</w:t>
            </w:r>
          </w:p>
          <w:p>
            <w:pPr>
              <w:pStyle w:val="Normal(Web)"/>
              <w:divId w:val="2"/>
              <w:jc w:val="center"/>
              <w:rPr>
                <w:vanish w:val="0"/>
              </w:rPr>
            </w:pPr>
            <w:r>
              <w:t xml:space="preserve">Số: </w:t>
            </w:r>
            <w:hyperlink r:id="rId3" w:history="1">
              <w:r>
                <w:rPr>
                  <w:rStyle w:val="Hyperlink"/>
                </w:rPr>
                <w:t xml:space="preserve">19/2013/TT-BTNMT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18 tháng 7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kỹ thuật quan trắc tài nguyên nước dưới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Tài nguyên nước số </w:t>
      </w:r>
      <w:hyperlink r:id="rId4" w:history="1">
        <w:r>
          <w:rPr>
            <w:rStyle w:val="Hyperlink"/>
            <w:i/>
          </w:rPr>
          <w:t xml:space="preserve">17/2012/QH13 </w:t>
        </w:r>
      </w:hyperlink>
      <w:r>
        <w:rPr>
          <w:i/>
        </w:rPr>
        <w:t xml:space="preserve"> ngày 21 tháng 6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21/2013/NĐ-CP </w:t>
        </w:r>
      </w:hyperlink>
      <w:r>
        <w:rPr>
          <w:i/>
        </w:rPr>
        <w:t xml:space="preserve"> ngày 04 tháng 3 năm 2013 của Chính phủ quy định chức năng, nhiệm vụ, quyền hạn và cơ cấu tổ chức của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6" w:history="1">
        <w:r>
          <w:rPr>
            <w:rStyle w:val="Hyperlink"/>
            <w:i/>
          </w:rPr>
          <w:t xml:space="preserve">24/2009/NĐ-CP </w:t>
        </w:r>
      </w:hyperlink>
      <w:r>
        <w:rPr>
          <w:i/>
        </w:rPr>
        <w:t xml:space="preserve"> ngày 05 tháng 3 năm 2009 của Chính phủ quy định chi tiết về biện pháp thi hành Luật Ban hành văn bản quy phạm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7" w:history="1">
        <w:r>
          <w:rPr>
            <w:rStyle w:val="Hyperlink"/>
            <w:i/>
          </w:rPr>
          <w:t xml:space="preserve">102/2008/NĐ-CP </w:t>
        </w:r>
      </w:hyperlink>
      <w:r>
        <w:rPr>
          <w:i/>
        </w:rPr>
        <w:t xml:space="preserve"> ngày 15 tháng 9 năm 2008 của Chính phủ về việc thu thập, quản lý, khai thác và sử dụng dữ liệu về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Xét đề nghị của Cục trưởng Cục Quản lý tài nguyên nước, Giám đốc Trung tâm Quy hoạch và Điều tra tài nguyên nước, Vụ trưởng Vụ Khoa học và Công nghệ, Vụ trưởng Vụ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Tài nguyên và Môi trường ban hành Thông tư quy định kỹ thuật quan trắc tài nguyên nước dưới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kỹ thuật quan trắc tài nguyên nước dưới đất bao gồm: Chế độ và yếu tố quan trắc, thiết bị - dụng cụ quan trắc, duy tu bảo dưỡng công trình quan trắc, chỉnh lý, ghi số, lập bảng biểu kết quả quan trắc, xử lý số liệu, lập báo cáo và công bố kết quả quan trắc tài nguyên nước dưới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cho các tổ chức, cá nhân có liên quan đến hoạt động quan trắc tài nguyên nước dưới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Nguyên tắc áp dụng các tiêu chuẩn, phương pháp viện dẫn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áp dụng các tiêu chuẩn, phương pháp viện dẫn trong quan trắc chất lượng nước dưới đất phải tuân thủ theo các tiêu chuẩn, phương pháp quan trắc và phân tích được quy định tại Khoản 1, 2 Điều 7 Chương II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các tiêu chuẩn, phương pháp quan trắc, chế độ quan trắc và phân tích chất lượng nước dưới đất quy định tại Chương II của Thông tư này sửa đổi, bổ sung hoặc thay thế thì áp dụng theo tiêu chuẩn, phương pháp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quy định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trình quan trắc nước dưới đất là công trình đơn lẻ (giếng khoan hoặc điểm lộ) được sử dụng để phục vụ quan trắc các yếu tố tài nguyên nước dưới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Điểm quan trắc bao gồm một hoặc vài công trình quan trắc.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Trạm quan trắc nước dưới đất là nơi được xây dựng để quản lý các công trình quan trắc tập trung gần nhau. Tại mỗi trạm thường có các loại phương tiện, máy móc, thiết bị chuyên dùng; có nhà trạm, diện tích đất chuyên dùng, hệ thống bảo vệ công trình, hành lang an toàn kỹ thuật và các công trình phụ trợ khác; có đội ngũ quan trắc viên thường trú tại trạm để thực hiện quan trắc.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Điểm lộ là điểm xuất lộ tự nhiên nước dưới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Sân cân bằng là một diện tích được lựa chọn để đánh giá định lượng thực tế các yếu tố cân bằng nước dưới đất và sự hình thành dòng chảy nước dưới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KỸ THUẬT QUAN TRẮC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Yêu cầu về thiết bị, dụng cụ quan trắc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thiết bị, dụng cụ quan trắc phải đạt độ chính xác theo quy định tại Điều 8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Yếu tố quan trắc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trình quan trắc giếng khoan: Mực nước, nhiệt độ, chiều sâu giếng khoan và chất lượng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trình quan trắc điểm lộ: Lưu lượng, nhiệt độ và chất lượng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Công trình quan trắc sân cân bằng: Lượng thấm, lượng mưa, lượng bốc hơi, nhiệt độ, độ ẩm và chất lượng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Thông số quan trắc chất lượng nước: Các thông số quan trắc chất lượng tài nguyên nước dưới đất được quy định tại các loại mẫu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Mẫu phân tích toàn diện gồm: Canxi (Ca</w:t>
      </w:r>
      <w:r>
        <w:rPr>
          <w:vertAlign w:val="superscript"/>
        </w:rPr>
        <w:t xml:space="preserve">2+</w:t>
      </w:r>
      <w:r>
        <w:t xml:space="preserve">), magie (Mg</w:t>
      </w:r>
      <w:r>
        <w:rPr>
          <w:vertAlign w:val="superscript"/>
        </w:rPr>
        <w:t xml:space="preserve">2+</w:t>
      </w:r>
      <w:r>
        <w:t xml:space="preserve">), natri (Na</w:t>
      </w:r>
      <w:r>
        <w:rPr>
          <w:vertAlign w:val="superscript"/>
        </w:rPr>
        <w:t xml:space="preserve">+</w:t>
      </w:r>
      <w:r>
        <w:t xml:space="preserve">), kali (K</w:t>
      </w:r>
      <w:r>
        <w:rPr>
          <w:vertAlign w:val="superscript"/>
        </w:rPr>
        <w:t xml:space="preserve">+</w:t>
      </w:r>
      <w:r>
        <w:t xml:space="preserve">), sắt tổng, nhôm (Al</w:t>
      </w:r>
      <w:r>
        <w:rPr>
          <w:vertAlign w:val="superscript"/>
        </w:rPr>
        <w:t xml:space="preserve">3+</w:t>
      </w:r>
      <w:r>
        <w:t xml:space="preserve">), amoni (NH</w:t>
      </w:r>
      <w:r>
        <w:rPr>
          <w:vertAlign w:val="subscript"/>
        </w:rPr>
        <w:t xml:space="preserve">4</w:t>
      </w:r>
      <w:r>
        <w:rPr>
          <w:vertAlign w:val="superscript"/>
        </w:rPr>
        <w:t xml:space="preserve">+</w:t>
      </w:r>
      <w:r>
        <w:t xml:space="preserve">), hidrocacbonat (HCO</w:t>
      </w:r>
      <w:r>
        <w:rPr>
          <w:vertAlign w:val="subscript"/>
        </w:rPr>
        <w:t xml:space="preserve">3</w:t>
      </w:r>
      <w:r>
        <w:rPr>
          <w:vertAlign w:val="superscript"/>
        </w:rPr>
        <w:t xml:space="preserve">-</w:t>
      </w:r>
      <w:r>
        <w:t xml:space="preserve">), clorua (Cl</w:t>
      </w:r>
      <w:r>
        <w:rPr>
          <w:vertAlign w:val="superscript"/>
        </w:rPr>
        <w:t xml:space="preserve">-</w:t>
      </w:r>
      <w:r>
        <w:t xml:space="preserve">), sunphat (SO</w:t>
      </w:r>
      <w:r>
        <w:rPr>
          <w:vertAlign w:val="subscript"/>
        </w:rPr>
        <w:t xml:space="preserve">4</w:t>
      </w:r>
      <w:r>
        <w:rPr>
          <w:vertAlign w:val="superscript"/>
        </w:rPr>
        <w:t xml:space="preserve">2-</w:t>
      </w:r>
      <w:r>
        <w:t xml:space="preserve">), cacbonat (CO</w:t>
      </w:r>
      <w:r>
        <w:rPr>
          <w:vertAlign w:val="subscript"/>
        </w:rPr>
        <w:t xml:space="preserve">3</w:t>
      </w:r>
      <w:r>
        <w:rPr>
          <w:vertAlign w:val="superscript"/>
        </w:rPr>
        <w:t xml:space="preserve">2-</w:t>
      </w:r>
      <w:r>
        <w:t xml:space="preserve">), nitơrit (NO</w:t>
      </w:r>
      <w:r>
        <w:rPr>
          <w:vertAlign w:val="subscript"/>
        </w:rPr>
        <w:t xml:space="preserve">2</w:t>
      </w:r>
      <w:r>
        <w:rPr>
          <w:vertAlign w:val="superscript"/>
        </w:rPr>
        <w:t xml:space="preserve">-</w:t>
      </w:r>
      <w:r>
        <w:t xml:space="preserve">), nitơrat (NO</w:t>
      </w:r>
      <w:r>
        <w:rPr>
          <w:vertAlign w:val="subscript"/>
        </w:rPr>
        <w:t xml:space="preserve">3</w:t>
      </w:r>
      <w:r>
        <w:rPr>
          <w:vertAlign w:val="superscript"/>
        </w:rPr>
        <w:t xml:space="preserve">-</w:t>
      </w:r>
      <w:r>
        <w:t xml:space="preserve">), độ cứng tổng, độ cứng tạm thời, độ cứng vĩnh viễn, pH, CO</w:t>
      </w:r>
      <w:r>
        <w:rPr>
          <w:vertAlign w:val="subscript"/>
        </w:rPr>
        <w:t xml:space="preserve">2</w:t>
      </w:r>
      <w:r>
        <w:t xml:space="preserve"> tự do, CO</w:t>
      </w:r>
      <w:r>
        <w:rPr>
          <w:vertAlign w:val="subscript"/>
        </w:rPr>
        <w:t xml:space="preserve">2</w:t>
      </w:r>
      <w:r>
        <w:t xml:space="preserve"> ăn mòn, CO</w:t>
      </w:r>
      <w:r>
        <w:rPr>
          <w:vertAlign w:val="subscript"/>
        </w:rPr>
        <w:t xml:space="preserve">2</w:t>
      </w:r>
      <w:r>
        <w:t xml:space="preserve"> xâm thực, silicat (SiO</w:t>
      </w:r>
      <w:r>
        <w:rPr>
          <w:vertAlign w:val="subscript"/>
        </w:rPr>
        <w:t xml:space="preserve">2</w:t>
      </w:r>
      <w:r>
        <w:t xml:space="preserve">), tổng độ khoáng hóa (sấy ở 105°C), màu, mùi,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Mẫu sắt gồm: Sắt hai (Fe</w:t>
      </w:r>
      <w:r>
        <w:rPr>
          <w:vertAlign w:val="superscript"/>
        </w:rPr>
        <w:t xml:space="preserve">2+</w:t>
      </w:r>
      <w:r>
        <w:t xml:space="preserve">), sắt ba (Fe</w:t>
      </w:r>
      <w:r>
        <w:rPr>
          <w:vertAlign w:val="superscript"/>
        </w:rPr>
        <w:t xml:space="preserve">3+</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Mẫu vi lượng: Tùy vào đặc điểm từng khu vực, lựa chọn phù hợp trong các thông số sau: Asen (As), thủy ngân (Hg), selen (Se), crom (Cr), cadimi (Cd), chì (Pb), đồng (Cu), kẽm (Zn), phenol, cyanua (CN</w:t>
      </w:r>
      <w:r>
        <w:rPr>
          <w:vertAlign w:val="superscript"/>
        </w:rPr>
        <w:t xml:space="preserve">-</w:t>
      </w:r>
      <w:r>
        <w:t xml:space="preserve">), mangan (Mn);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Mẫu nghiên cứu ô nhiễm có nguồn gốc hữu cơ: Amoni (NH</w:t>
      </w:r>
      <w:r>
        <w:rPr>
          <w:vertAlign w:val="subscript"/>
        </w:rPr>
        <w:t xml:space="preserve">4</w:t>
      </w:r>
      <w:r>
        <w:rPr>
          <w:vertAlign w:val="superscript"/>
        </w:rPr>
        <w:t xml:space="preserve">+</w:t>
      </w:r>
      <w:r>
        <w:t xml:space="preserve">), nitơrit (NO</w:t>
      </w:r>
      <w:r>
        <w:rPr>
          <w:vertAlign w:val="subscript"/>
        </w:rPr>
        <w:t xml:space="preserve">2</w:t>
      </w:r>
      <w:r>
        <w:rPr>
          <w:vertAlign w:val="superscript"/>
        </w:rPr>
        <w:t xml:space="preserve">-</w:t>
      </w:r>
      <w:r>
        <w:t xml:space="preserve">), nitơrat (NO</w:t>
      </w:r>
      <w:r>
        <w:rPr>
          <w:vertAlign w:val="subscript"/>
        </w:rPr>
        <w:t xml:space="preserve">3</w:t>
      </w:r>
      <w:r>
        <w:rPr>
          <w:vertAlign w:val="superscript"/>
        </w:rPr>
        <w:t xml:space="preserve">-</w:t>
      </w:r>
      <w:r>
        <w:t xml:space="preserve">), phốt phát (PO</w:t>
      </w:r>
      <w:r>
        <w:rPr>
          <w:vertAlign w:val="subscript"/>
        </w:rPr>
        <w:t xml:space="preserve">4</w:t>
      </w:r>
      <w:r>
        <w:rPr>
          <w:vertAlign w:val="superscript"/>
        </w:rPr>
        <w:t xml:space="preserve">3-</w:t>
      </w:r>
      <w:r>
        <w:t xml:space="preserve">), COD, Eh (chỉ tiêu Eh đo tại thực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Chỉ tiêu phân tích tại hiện trường: Tùy thuộc vào đặc điểm từng vùng mà chọn trong các thông số cơ bản sau: Nhiệt độ, pH, Eh, DO, Cl</w:t>
      </w:r>
      <w:r>
        <w:rPr>
          <w:vertAlign w:val="superscript"/>
        </w:rPr>
        <w:t xml:space="preserve">-</w:t>
      </w:r>
      <w:r>
        <w:t xml:space="preserve">, Ec và NH</w:t>
      </w:r>
      <w:r>
        <w:rPr>
          <w:vertAlign w:val="subscript"/>
        </w:rPr>
        <w:t xml:space="preserve">4</w:t>
      </w:r>
      <w:r>
        <w:rPr>
          <w:vertAlign w:val="superscript"/>
        </w:rPr>
        <w:t xml:space="preserve">+</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Lấy mẫu và phân tích mẫu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Lấy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lấy mẫu nước dưới đất tuân theo tiêu chuẩn quốc gia TCVN 6663-­11:2011;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quá trình bơm thau rửa, đo các chỉ tiêu pH, Eh, Ec đến khi có giá trị ổn định mới lấy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Việc lấy mẫu sắt tiến hành cùng lấy mẫu toàn diện hoặc tại các khu vực có hàm lượng sắt cao hơn tiêu chuẩn cho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Công tác bảo đảm chất lượng và kiểm soát chất lượng thực hiện theo các văn bản, quy định của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Bảo quản và vận chuyển mẫu: Mẫu được bảo quản và lưu giữ theo tiêu chuẩn quốc gia TCVN 6663-3:2008.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Phân tích tại hiện trường: Đối với các chỉ tiêu phân tích tại hiện trường, mẫu lấy vào dụng cụ chuyên dụng. Chuẩn độ đầu đo và tiến hành đo đạc, ghi phiếu thực địa theo mẫu ở Phụ lục số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Phân tích trong phòng thí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Căn cứ vào mục tiêu chất lượng số liệu và điều kiện phòng thí nghiệm, việc phân tích các thông số phải tuân theo một trong các phương pháp quy định trong các tiêu chuẩn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chưa có các tiêu chuẩn quốc gia thì áp dụng tiêu chuẩn quốc tế khác có độ chính xác tương đương hoặc cao hơn;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Công tác bảo đảm chất lượng và kiểm soát chất lượng trong phòng thí nghiệm thực hiện theo các văn bản, quy định của Bộ Tài nguyên và Môi trường về hướng dẫn bảo đảm chất lượng và kiểm soát chất lượng trong quan trắc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Xử lý số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số liệu: Kiểm tra tổng hợp về tính hợp lý của số liệu; việc kiểm tra dựa trên hồ sơ của mẫu (biên bản, nhật ký lấy mẫu tại hiện trường, biên bản giao nhận mẫu, kết quả phân tích tại hiện trường), biểu ghi kết quả phân tích trong phòng thí nghiệm, số liệu của mẫu kiểm soát chất lượng (mẫu trắng, mẫu lặp, mẫu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Xử lý thống kê: Căn cứ theo lượng mẫu và nội dung của báo cáo, việc xử lý thống kê có thể sử dụng các phương pháp và các phần mềm khác nhau nhưng phải có các thống kê miêu tả (giá trị nhỏ nhất, giá trị lớn nhất, giá trị trung bình, số giá trị vượt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Đơn vị đo và yêu cầu độ chính xác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Mực nước, chiều sâu giếng khoan tính bằng mét; chính xác đến 1cm.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Nhiệt độ tính bằng °C; chính xác đến 0,5°C.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Lưu lượng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vị tính: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Lưu lượng được tính bằng l/s hoặc m</w:t>
      </w:r>
      <w:r>
        <w:rPr>
          <w:vertAlign w:val="superscript"/>
        </w:rPr>
        <w:t xml:space="preserve">3</w:t>
      </w:r>
      <w:r>
        <w:t xml:space="preserve">/s;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tính bằng giây.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Độ chính xác: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lưu lượng đo bằng mực nước qua ván tràn chính xác đến 1mm;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lưu lượng đo bằng thùng định lượng chính xác đến 0,5l/s;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chính xác đến 01 giây.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Chất lượng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Hàm lượng ion trong các mẫu toàn diện, sắt, nghiên cứu ô nhiễm có nguồn gốc hữu cơ, nguyên tố Mangan (Mn) đơn vị tính là mg/l; chính xác đến 01 mg/l;</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Hàm lượng ion trong các mẫu vi lượng đơn vị tính là mg/l; chính xác đến 0,0001 mg/l.</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Lượng thấm, lượng mưa, lượng bốc hơi, tính bằng mm; chính xác đến 1mm.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Độ ẩm tính bằng phần trăm (%); chính xác đến 1 %.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Chế độ quan trắc tài nguyên nước dưới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gian theo mùa.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Thời gian tính mùa khô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Tây Bắc, Đông Bắc, đồng bằng Bắc Bộ, Bắc Trung Bộ (hai tỉnh Thanh Hóa, Nghệ An), Tây Nguyên và Nam Bộ: Từ tháng 11 năm trước đến hết tháng 4 năm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Bắc Trung Bộ (từ Hà Tĩnh đến Thừa Thiên Huế) và Nam Trung Bộ: Từ tháng 01 đến hết tháng 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gian tính mùa mưa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Tây Bắc, Đông Bắc, đồng bằng Bắc Bộ, Bắc Trung Bộ (hai tỉnh Thanh Hóa, Nghệ An), Tây Nguyên và Nam Bộ: Từ tháng 5 đến hết tháng 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Bắc Trung Bộ (từ Hà Tĩnh đến Thừa Thiên Huế) và Nam Trung Bộ: Từ tháng 9 đến hết tháng 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Chế độ quan trắc mực nước, lưu lượng bằng thiết bị đo thủ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công trình quan trắc vùng không ảnh hưởng triều: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Mùa khô: Đo 05 lần trong một tháng vào các ngày 6, 12, 18, 24, 30. Riêng tháng 2 không có ngày 30 chuyển đo vào ngày 1 tháng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Mùa mưa: Đo 10 lần trong một tháng vào các ngày 3, 6, 9, 12, 15, 18, 21, 24, 27, 30. Đối với các công trình nghiên cứu quan hệ thủy lực giữa nước dưới đất với nước mặt, khi có báo động cấp 2 trở lên: Đo 01 lần/ngày.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công trình quan trắc ảnh hưởng của thủy triều đến nước dưới đất: Mỗi ngày đo 12 lần vào các giờ: 1, 3, 5, 7, 9, 11, 13, 15, 17, 19, 21, 23.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công trình ở sân cân bằng: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Quan trắc các yếu tố khí tượng và nhiệt độ đất: Đo 03 lần /ngày vào các thời điểm 7 giờ, 13 giờ và 19 giờ;</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Quan trắc lượng ngấm và bốc hơi thực tế tại hầm lizimet: Đo 01 lần/ngày;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Quan trắc mực nước tại các công trình quan trắc: Đo 01 lần/ngày.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Chế độ quan trắc mực nước, nhiệt độ bằng thiết bị đo tự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Thiết lập chế độ ghi dữ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công trình quan trắc ảnh hưởng của thủy triều, khai thác nước: Tự ghi 01 giờ/lần;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công trình không ảnh hưởng của thủy triều: Tự ghi 02 giờ/lần.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Chế độ lấy dữ liệu, truyền dữ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Lấy dữ liệu: 02 lần/tháng vào các ngày đầu và giữa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Truyền dữ liệu: 01 lần/ngày, vào lúc 14h.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Chế độ quan trắc kiểm tra thiết bị đo tự ghi: 02 lần/tháng, xen kẽ vào khoảng thời gian đi lấy số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Chế độ quan trắc nhiệt độ nước dưới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các công trình quan trắc thủ công, vùng không ảnh hưởng triều: Đo nhiệt độ nước dưới đất được tiến hành ngay sau khi đo mực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công trình quan trắc thủ công vùng ảnh hưởng triều: Đo nhiệt độ 01 lần trong ngày vào lúc 13h;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các công trình quan trắc lắp máy tự ghi dạng cơ: Đo nhiệt độ 05 lần trong tháng vào lúc thay băng và kiểm tra, bảo dưỡng máy.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Chế độ quan trắc chất lượng nước dưới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Phân tích tại phòng thí nghiệm hoặc phân tích tại hiện trường: Tối thiểu 02 lần/năm;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Chế độ quan trắc tự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Thiết lập chế độ ghi dữ liệu 02 lần/tháng;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Lấy dữ liệu: 01 lần/tháng;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Chế độ quan trắc kiểm tra: 02 lần/năm trừ trường hợp đột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Chiều sâu giếng khoan: Mỗi quý một 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Điều chỉnh chế độ quan trắc.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vị thực hiện quan trắc không được tự ý điều chỉnh chế độ quan trắc;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công trình có số liệu quan trắc từ 15 năm trở lên: Đơn vị thực hiện quan trắc nghiên cứu, đề xuất chế độ đo phù hợp trình cấp có thẩm quyền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Kiểm tra quan trắc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Trạm trưởng trạm quan trắc hoặc người có chức vụ tương đương kiểm tra tối thiểu 01 tháng/lần công việc của trạm.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vị quản lý vùng quan trắc: Kiểm tra công việc của mạng quan trắc tối thiểu 03 tháng/lần.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đơn vị quản lý kỹ thuật mạng quan trắc: Kiểm tra tối thiểu 01 năm/lần công việc quan trắc của đơn vị quản lý các mạng quan trắc.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Báo cáo kết quả kiểm tra theo mẫu tại Phụ lục số 7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Số liệu quan trắc, tổng hợp kết quả quan trắc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Số liệu quan trắc phải được tính toán ghi vào số theo mẫu tại Phụ lục số 1, Phụ lục số 2, Phụ lục số 3, Phụ lục số 4 và Phụ lục số 5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liệu phải được xử lý đảm bảo tính chất hợp lý và độ chính xác đáp ứng theo yêu cầu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Tổng hợp kết quả quan trắc được thành lập theo mẫu tại Phụ lục số 6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Báo cáo và công bố kết quả quan trắc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Báo cáo kết quả quan trắc.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đơn vị quản lý vùng quan trắc: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kế hoạch quan trắc vùng định kỳ 01 năm/lần. Kế hoạch quan trắc vùng gửi đến đơn vị quản lý kỹ thuật mạng quan trắc trước ngày 15 tháng 12 của năm trước;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số liệu, chỉnh lý và cập nhật cơ sở dữ liệu, số liệu quan trắc được gửi về đơn vị quản lý kỹ thuật mạng quan trắc hàng tháng, số liệu của tháng trước được gửi trước ngày 22 của tháng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kết quả vận hành mạng quan trắc. Báo cáo vùng gửi đến đơn vị quản lý kỹ thuật mạng quan trắc trước ngày 15 tháng 12 trong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đơn vị quản lý kỹ thuật mạng quan trắc: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hợp kế hoạch quan trắc trong cả nước định kỳ 01 năm/lần, trình vào cuối tháng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đánh giá chất lượng tài liệu quan trắc của các vùng, tổng hợp số liệu quan trắc của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soạn bản tin thông báo, cảnh báo dự báo tài nguyên nước dưới đất, gửi đến các cơ quan quản lý tài nguyên nước liên quan, các đơn vị quản lý vùng quan trắc; công bố trên trang điện tử, định kỳ 03 tháng/lần. Thời gian gửi thông báo 45 ngày sau khi nhận được số liệu và thông báo từ các đơn vị quản lý vùng quan trắc;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soạn niên giám tài nguyên nước dưới đất gửi đến các cơ quan quản lý tài nguyên nước liên quan định kỳ 01 năm/lần; Thời gian gửi tháng 8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hợp báo cáo kết quả vận hành mạng quan trắc và đánh giá diễn biến số lượng, chất lượng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bố kết quả quan trắc.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liệu quan trắc tài nguyên nước dưới đất phải được cơ quan có thẩm quyền đánh giá trước khi công bố phục vụ khai thác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Công tác bảo dưỡng công trình quan trắc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công trình quan trắc phải được bảo dưỡng định kỳ và thường xuyên.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đơn vị quan trắc chịu trách nhiệm lập kế hoạch bảo dưỡng và trình các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Công tác hoàn thiện mạng lưới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Mạng lưới quan trắc phải được thường xuyên hoàn thiện (kết thúc hoặc bổ sung điểm quan trắc).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đơn vị thực hiện quan trắc chịu trách nhiệm lập kế hoạch hoàn thiện mạng lưới trình các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Hồ sơ kỹ thuật công trình quan trắc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trình quan trắc phải có hồ sơ kỹ thuật phục vụ quản lý, bao gồm các nội dung quy định trong Phụ lục số 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Kinh phí quan trắc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quan trắc tài nguyên nước dưới đất thực hiện bằng nguồn ngân sách nhà nước, do cơ quan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quan trắc, phương pháp quan trắc, kinh phí quan trắc hàng năm do tổ chức, cá nhân quản lý trực tiếp hoạt động quan trắc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trưởng, Thủ trưởng cơ quan ngang Bộ, Thủ trưởng cơ quan thuộc Chính phủ, Chủ tịch Ủy ban nhân dân các cấp và tổ chức, cá nhân có liên quan chịu trách nhiệm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Cục Quản lý tài nguyên nước có trách nhiệm hướng dẫn, kiểm tra việc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kể từ ngày 03 tháng 9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nếu có vướng mắc, đề nghị các cơ quan, tổ chức, cá nhân phản ánh kịp thời về Bộ Tài nguyên và Môi trường để nghiên cứu, sửa đổi, bổ sung./.</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Thái Lai</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9-2013-tt-btnmt-cua-bo-tai-nguyen-va-moi-truong---quy-dinh-ky-thuat-quan-trac-tai-nguyen-nuoc-duoi-dat.aspx" TargetMode="External" /><Relationship Id="rId4" Type="http://schemas.openxmlformats.org/officeDocument/2006/relationships/hyperlink" Target="/luat-tai-nguyen-nuoc-so-17-2012-qh13.aspx" TargetMode="External" /><Relationship Id="rId5" Type="http://schemas.openxmlformats.org/officeDocument/2006/relationships/hyperlink" Target="/nghi-dinh-21-2013-nd-cp-ve-viec-quy-dinh-chuc-nang-nhiem-vu-quyen-han-va-co-cau-to-chuc-cua-bo-tai-nguyen-va-moi-truong-.aspx" TargetMode="External" /><Relationship Id="rId6" Type="http://schemas.openxmlformats.org/officeDocument/2006/relationships/hyperlink" Target="/nghi-dinh-so-24-2009-nd-cp-cua-chinh-phu---quy-dinh-chi-tiet-va-bien-phap-thi-hanh-luat-ban-hanh-van-ban-quy-pham-phap-luat.aspx" TargetMode="External" /><Relationship Id="rId7" Type="http://schemas.openxmlformats.org/officeDocument/2006/relationships/hyperlink" Target="/nghi-dinh-102-2008-nd-cp-thu-thap--quan-ly--khai-thac-su-dung-du-lieu-tai-nguyen-moi-truong.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2022-06-22T10:04:24Z</dcterms:created>
  <dcterms:modified xsi:type="dcterms:W3CDTF">2022-06-22T10:04:24Z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2022-06-22T10:04:24Z</dcterms:created>
  <dcterms:modified xsi:type="dcterms:W3CDTF">2022-06-22T10:04:24Z</dcterms:modified>
</cp:coreProperties>
</file>