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</w:pP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BỘ Y TẾ - BỘ LAO ĐỘNG THƯƠNG BINH VÀ XÃ HỘI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</w:t>
            </w:r>
            <w:hyperlink r:id="rId3" w:history="1">
              <w:r>
                <w:rPr>
                  <w:rStyle w:val="Hyperlink"/>
                </w:rPr>
                <w:t xml:space="preserve">21/2014/TTLT-BYT-BLĐTBXH </w:t>
              </w:r>
            </w:hyperlink>
            <w: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jc w:val="center"/>
              <w:rPr>
                <w:vanish w:val="0"/>
              </w:rPr>
            </w:pPr>
            <w:r>
              <w:rPr>
                <w:b/>
              </w:rPr>
              <w:t xml:space="preserve">CỘNG HÒA XÃ HỘI CHỦ NGHĨA VIỆT NAM</w:t>
            </w:r>
            <w:r>
              <w:rPr>
                <w:b/>
              </w:rPr>
              <w:br/>
            </w:r>
            <w:r>
              <w:rPr>
                <w:b/>
              </w:rPr>
              <w:t xml:space="preserve">Độc lập - Tự do - Hạnh phúc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--------------------------</w:t>
            </w:r>
          </w:p>
          <w:p>
            <w:pPr>
              <w:pStyle w:val="Normal(Web)"/>
              <w:divId w:val="4"/>
              <w:jc w:val="right"/>
              <w:rPr>
                <w:vanish w:val="0"/>
              </w:rPr>
            </w:pPr>
            <w:r>
              <w:rPr>
                <w:i/>
              </w:rPr>
              <w:t xml:space="preserve">Hà Nội, ngày 12 tháng 06 năm 2014</w:t>
            </w:r>
          </w:p>
        </w:tc>
      </w:tr>
    </w:tbl>
    <w:p>
      <w:pPr>
        <w:pStyle w:val="Normal(Web)"/>
        <w:divId w:val="5"/>
        <w:jc w:val="center"/>
        <w:rPr>
          <w:vanish w:val="0"/>
        </w:rPr>
      </w:pPr>
      <w:r>
        <w:rPr>
          <w:b/>
        </w:rPr>
        <w:t xml:space="preserve">THÔNG TƯ LIÊN TỊCH</w:t>
      </w:r>
    </w:p>
    <w:p>
      <w:pPr>
        <w:pStyle w:val="Normal(Web)"/>
        <w:divId w:val="6"/>
        <w:jc w:val="center"/>
        <w:rPr>
          <w:vanish w:val="0"/>
        </w:rPr>
      </w:pPr>
      <w:r>
        <w:rPr>
          <w:b/>
        </w:rPr>
        <w:t xml:space="preserve">SỬA ĐỔI KHOẢN 1 ĐIỀU 1 THÔNG TƯ LIÊN TỊCH SỐ </w:t>
      </w:r>
      <w:hyperlink r:id="rId4" w:history="1">
        <w:r>
          <w:rPr>
            <w:rStyle w:val="Hyperlink"/>
            <w:b/>
          </w:rPr>
          <w:t xml:space="preserve">28/2013/TTLT-BYT-BLĐTBXH </w:t>
        </w:r>
      </w:hyperlink>
      <w:r>
        <w:rPr>
          <w:b/>
        </w:rPr>
        <w:t xml:space="preserve"> </w:t>
      </w:r>
    </w:p>
    <w:p>
      <w:pPr>
        <w:pStyle w:val="Normal(Web)"/>
        <w:divId w:val="7"/>
        <w:jc w:val="center"/>
        <w:rPr>
          <w:vanish w:val="0"/>
        </w:rPr>
      </w:pPr>
      <w:r>
        <w:rPr>
          <w:b/>
        </w:rPr>
        <w:t xml:space="preserve">NGÀY 27 THÁNG 9 NĂM 2013 QUY ĐỊNH TỶ LỆ TỔN THƯƠNG CƠ THỂ DO THƯƠNG TÍCH,</w:t>
      </w:r>
    </w:p>
    <w:p>
      <w:pPr>
        <w:pStyle w:val="Normal(Web)"/>
        <w:divId w:val="8"/>
        <w:jc w:val="center"/>
        <w:rPr>
          <w:vanish w:val="0"/>
        </w:rPr>
      </w:pPr>
      <w:r>
        <w:rPr>
          <w:b/>
        </w:rPr>
        <w:t xml:space="preserve">BỆNH, TẬT VÀ BỆNH NGHỀ NGHIỆP</w:t>
      </w:r>
    </w:p>
    <w:p>
      <w:pPr>
        <w:pStyle w:val="Normal(Web)"/>
        <w:divId w:val="9"/>
        <w:rPr>
          <w:vanish w:val="0"/>
        </w:rPr>
      </w:pPr>
      <w:r>
        <w:rPr>
          <w:i/>
        </w:rPr>
        <w:t xml:space="preserve">Căn cứ Bộ luật lao động số 10/2012/QH13 ngày 18 tháng 6 năm 2012;</w:t>
      </w:r>
    </w:p>
    <w:p>
      <w:pPr>
        <w:pStyle w:val="Normal(Web)"/>
        <w:divId w:val="10"/>
        <w:rPr>
          <w:vanish w:val="0"/>
        </w:rPr>
      </w:pPr>
      <w:r>
        <w:rPr>
          <w:i/>
        </w:rPr>
        <w:t xml:space="preserve">Căn cứ Luật bảo hiểm xã hội số </w:t>
      </w:r>
      <w:hyperlink r:id="rId5" w:history="1">
        <w:r>
          <w:rPr>
            <w:rStyle w:val="Hyperlink"/>
            <w:i/>
          </w:rPr>
          <w:t xml:space="preserve">71/2006/QH11 </w:t>
        </w:r>
      </w:hyperlink>
      <w:r>
        <w:rPr>
          <w:i/>
        </w:rPr>
        <w:t xml:space="preserve"> ngày 29 tháng 6 năm 2006;</w:t>
      </w:r>
    </w:p>
    <w:p>
      <w:pPr>
        <w:pStyle w:val="Normal(Web)"/>
        <w:divId w:val="11"/>
        <w:rPr>
          <w:vanish w:val="0"/>
        </w:rPr>
      </w:pPr>
      <w:r>
        <w:rPr>
          <w:i/>
        </w:rPr>
        <w:t xml:space="preserve">Căn cứ Pháp lệnh ưu đãi người có công với cách mạng số 26/2005/PL-UBTVQH11 ngày 29</w:t>
      </w:r>
      <w:r>
        <w:rPr>
          <w:i/>
        </w:rPr>
        <w:t xml:space="preserve">tháng</w:t>
      </w:r>
      <w:r>
        <w:rPr>
          <w:i/>
        </w:rPr>
        <w:t xml:space="preserve">6 năm 2005 và Pháp lệnh sửa đổi, bổ sung một số điều của Pháp lệnh ưu đãi người có công với cách mạng số 04/2012/UBTVQH13 ngày 16</w:t>
      </w:r>
      <w:r>
        <w:rPr>
          <w:i/>
        </w:rPr>
        <w:t xml:space="preserve">tháng</w:t>
      </w:r>
      <w:r>
        <w:rPr>
          <w:i/>
        </w:rPr>
        <w:t xml:space="preserve"> 07 năm 2012;</w:t>
      </w:r>
    </w:p>
    <w:p>
      <w:pPr>
        <w:pStyle w:val="Normal(Web)"/>
        <w:divId w:val="12"/>
        <w:rPr>
          <w:vanish w:val="0"/>
        </w:rPr>
      </w:pPr>
      <w:r>
        <w:rPr>
          <w:i/>
        </w:rPr>
        <w:t xml:space="preserve">Căn cứ </w:t>
      </w:r>
      <w:r>
        <w:rPr>
          <w:i/>
        </w:rPr>
        <w:t xml:space="preserve">Nghị định số</w:t>
      </w:r>
      <w:r>
        <w:rPr>
          <w:i/>
        </w:rPr>
        <w:t xml:space="preserve"> 45/2013/NĐ-CP ngày 10</w:t>
      </w:r>
      <w:r>
        <w:rPr>
          <w:i/>
        </w:rPr>
        <w:t xml:space="preserve">tháng</w:t>
      </w:r>
      <w:r>
        <w:rPr>
          <w:i/>
        </w:rPr>
        <w:t xml:space="preserve"> 5 năm 2013 của </w:t>
      </w:r>
      <w:r>
        <w:rPr>
          <w:i/>
        </w:rPr>
        <w:t xml:space="preserve">Chính phủ</w:t>
      </w:r>
      <w:r>
        <w:rPr>
          <w:i/>
        </w:rPr>
        <w:t xml:space="preserve"> quy định chi tiết </w:t>
      </w:r>
      <w:r>
        <w:rPr>
          <w:i/>
        </w:rPr>
        <w:t xml:space="preserve">một số điều của Bộ luật lao động về thời giờ làm việc, thời giờ nghỉ ngơi và an toàn lao động, vệ sinh lao động;</w:t>
      </w:r>
    </w:p>
    <w:p>
      <w:pPr>
        <w:pStyle w:val="Normal(Web)"/>
        <w:divId w:val="13"/>
        <w:rPr>
          <w:vanish w:val="0"/>
        </w:rPr>
      </w:pPr>
      <w:r>
        <w:rPr>
          <w:i/>
        </w:rPr>
        <w:t xml:space="preserve">Căn cứ </w:t>
      </w:r>
      <w:r>
        <w:rPr>
          <w:i/>
        </w:rPr>
        <w:t xml:space="preserve">Nghị định số</w:t>
      </w:r>
      <w:r>
        <w:rPr>
          <w:i/>
        </w:rPr>
        <w:t xml:space="preserve"> 31/2013/NĐ-CP ngày 09 tháng 4 năm 2013 của</w:t>
      </w:r>
      <w:r>
        <w:rPr>
          <w:i/>
        </w:rPr>
        <w:t xml:space="preserve">Chính phủ</w:t>
      </w:r>
      <w:r>
        <w:rPr>
          <w:i/>
        </w:rPr>
        <w:t xml:space="preserve"> quy định chi tiết, hướng dẫn thi hành một số điều của Pháp lệnh ưu đãi người có công với cách mạng;</w:t>
      </w:r>
    </w:p>
    <w:p>
      <w:pPr>
        <w:pStyle w:val="Normal(Web)"/>
        <w:divId w:val="14"/>
        <w:rPr>
          <w:vanish w:val="0"/>
        </w:rPr>
      </w:pPr>
      <w:r>
        <w:rPr>
          <w:i/>
        </w:rPr>
        <w:t xml:space="preserve">Căn cứ Nghị định số 63/2012/NĐ-CP ngày 31 tháng 8 năm 2012 của</w:t>
      </w:r>
      <w:r>
        <w:rPr>
          <w:i/>
        </w:rPr>
        <w:t xml:space="preserve">Chính phủ</w:t>
      </w:r>
      <w:r>
        <w:rPr>
          <w:i/>
        </w:rPr>
        <w:t xml:space="preserve"> quy định chức năng, nhiệm vụ, quyền hạn và cơ cấu </w:t>
      </w:r>
      <w:r>
        <w:rPr>
          <w:i/>
        </w:rPr>
        <w:t xml:space="preserve">tổ chức</w:t>
      </w:r>
      <w:r>
        <w:rPr>
          <w:i/>
        </w:rPr>
        <w:t xml:space="preserve"> của Bộ Y tế;</w:t>
      </w:r>
    </w:p>
    <w:p>
      <w:pPr>
        <w:pStyle w:val="Normal(Web)"/>
        <w:divId w:val="15"/>
        <w:rPr>
          <w:vanish w:val="0"/>
        </w:rPr>
      </w:pPr>
      <w:r>
        <w:rPr>
          <w:i/>
        </w:rPr>
        <w:t xml:space="preserve">Căn cứ Nghị định số 106/2012/NĐ-CP ngày 20 tháng 12 năm 2012 của Chính phủ quy định chức năng, nhiệm vụ, quyền hạn và cơ cấu tổ chức của Bộ Lao động - Thương binh và Xã hội;</w:t>
      </w:r>
    </w:p>
    <w:p>
      <w:pPr>
        <w:pStyle w:val="Normal(Web)"/>
        <w:divId w:val="16"/>
        <w:rPr>
          <w:vanish w:val="0"/>
        </w:rPr>
      </w:pPr>
      <w:r>
        <w:rPr>
          <w:i/>
        </w:rPr>
        <w:t xml:space="preserve">Theo đề nghị của Cục trưởng Cục Quản lý Khám, chữa bệnh, Vụ trưởng Vụ Pháp chế, Bộ Y tế và Cục trưởng Cục An toàn lao động, Cục trưởng Cục Người có công, Vụ trưởng Vụ Pháp chế, Bộ Lao động - Thương binh và Xã hội;</w:t>
      </w:r>
    </w:p>
    <w:p>
      <w:pPr>
        <w:pStyle w:val="Normal(Web)"/>
        <w:divId w:val="17"/>
        <w:rPr>
          <w:vanish w:val="0"/>
        </w:rPr>
      </w:pPr>
      <w:r>
        <w:rPr>
          <w:i/>
        </w:rPr>
        <w:t xml:space="preserve">Bộ trưởng Bộ Y tế, Bộ trưởng Bộ Lao động - Thương binh và Xã hội ban hành Thông tư liên tịch sửa đổi Khoản 1, Điều 1 Thông tư liên tịch số 28/2013/TTLT-BYT-BLĐTBXH ngày 27 tháng 9 năm 2013 quy định tỷ lệ tổn thương cơ thể do thương tích, bệnh, tật và bệnh nghề nghiệp.</w:t>
      </w:r>
    </w:p>
    <w:p>
      <w:pPr>
        <w:pStyle w:val="Normal(Web)"/>
        <w:divId w:val="18"/>
        <w:rPr>
          <w:vanish w:val="0"/>
        </w:rPr>
      </w:pPr>
      <w:r>
        <w:rPr>
          <w:b/>
        </w:rPr>
        <w:t xml:space="preserve">Điều 1. Sửa đổi Khoản 1 Điều 1</w:t>
      </w:r>
    </w:p>
    <w:p>
      <w:pPr>
        <w:pStyle w:val="Normal(Web)"/>
        <w:divId w:val="19"/>
        <w:rPr>
          <w:vanish w:val="0"/>
        </w:rPr>
      </w:pPr>
      <w:r>
        <w:t xml:space="preserve">Khoản 1 Điều 1 của Thông tư liên tịch số 28/2013/TTLT-BYT-BLĐBXH ngày 27 tháng 9 năm</w:t>
      </w:r>
      <w:r>
        <w:t xml:space="preserve">2013 quy định tỷ lệ tổn thương cơ thể do thương tích, bệnh, tật và bệnh nghề nghiệp được sửa đổi như sau:</w:t>
      </w:r>
    </w:p>
    <w:p>
      <w:pPr>
        <w:pStyle w:val="Normal(Web)"/>
        <w:divId w:val="20"/>
        <w:rPr>
          <w:vanish w:val="0"/>
        </w:rPr>
      </w:pPr>
      <w:r>
        <w:t xml:space="preserve">“Ban hành kèm theo Thông tư này bảng tỷ lệ tổn thương cơ thể áp dụng trong giám định y khoa như sau: Bảng 1: Tỷ lệ tổn thương cơ thể do thương tích; Bảng 2: Tỷ lệ tổn thương cơ thể do bệnh, tật; Bảng 3: Tỷ lệ tổn thương cơ thể do bệnh nghề nghiệp”.</w:t>
      </w:r>
    </w:p>
    <w:p>
      <w:pPr>
        <w:pStyle w:val="Normal(Web)"/>
        <w:divId w:val="21"/>
        <w:rPr>
          <w:vanish w:val="0"/>
        </w:rPr>
      </w:pPr>
      <w:r>
        <w:t xml:space="preserve">Điều 2. Hiệu lực thi hành</w:t>
      </w:r>
    </w:p>
    <w:p>
      <w:pPr>
        <w:pStyle w:val="Normal(Web)"/>
        <w:divId w:val="22"/>
        <w:rPr>
          <w:vanish w:val="0"/>
        </w:rPr>
      </w:pPr>
      <w:r>
        <w:t xml:space="preserve">1. Thông tư này có hiệu lực thi hành từ ngày 15 tháng 8 năm 2014.</w:t>
      </w:r>
    </w:p>
    <w:p>
      <w:pPr>
        <w:pStyle w:val="Normal(Web)"/>
        <w:divId w:val="23"/>
        <w:rPr>
          <w:vanish w:val="0"/>
        </w:rPr>
      </w:pPr>
      <w:r>
        <w:t xml:space="preserve">2. Bãi bỏ Khoản 1 Điều 1 của Thông tư liên tịch số 28/2013/TTLT-BYT-BLĐBXH ngày 27 tháng 9 năm 2013 quy định tỷ lệ tổn thương cơ thể do thương tích, bệnh, tật và bệnh nghề nghiệp kể từ ngày Thông tư này có hiệu lực.</w:t>
      </w:r>
    </w:p>
    <w:p>
      <w:pPr>
        <w:pStyle w:val="Normal(Web)"/>
        <w:divId w:val="24"/>
        <w:rPr>
          <w:vanish w:val="0"/>
        </w:rPr>
      </w:pPr>
      <w:r>
        <w:t xml:space="preserve">Trong quá trình thực hiện nếu có khó khăn, vướng mắc, các đơn vị, địa phương cần phản ánh kịp thời về Bộ Y tế, Bộ Lao động - Thương binh và Xã hội để được hướng dẫn, giải quyết./.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</w:pP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25"/>
              <w:jc w:val="center"/>
              <w:rPr>
                <w:vanish w:val="0"/>
              </w:rPr>
            </w:pPr>
            <w:r>
              <w:rPr>
                <w:b/>
              </w:rPr>
              <w:t xml:space="preserve">KT. BỘ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BỘ LAO ĐỘNG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THƯƠNG BINH VÀ XÃ HỘI</w:t>
            </w:r>
            <w:r>
              <w:rPr>
                <w:b/>
              </w:rPr>
              <w:br/>
            </w:r>
            <w:r>
              <w:rPr>
                <w:b/>
              </w:rPr>
              <w:t xml:space="preserve">THỨ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Bùi Hồng Lĩnh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26"/>
              <w:jc w:val="center"/>
              <w:rPr>
                <w:vanish w:val="0"/>
              </w:rPr>
            </w:pPr>
            <w:r>
              <w:rPr>
                <w:b/>
              </w:rPr>
              <w:br/>
            </w:r>
            <w:r>
              <w:rPr>
                <w:b/>
              </w:rPr>
              <w:t xml:space="preserve">KT. BỘ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BỘ Y TẾ</w:t>
            </w:r>
            <w:r>
              <w:rPr>
                <w:b/>
              </w:rPr>
              <w:br/>
            </w:r>
            <w:r>
              <w:rPr>
                <w:b/>
              </w:rPr>
              <w:t xml:space="preserve">THỨ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Nguyễn Viết Tiến</w:t>
            </w:r>
          </w:p>
        </w:tc>
      </w:tr>
      <w:tr>
        <w:trPr>
          <w:jc w:val="left"/>
        </w:trPr>
        <w:tc>
          <w:tcPr>
            <w:tcW w:w="0" w:type="auto"/>
            <w:hMerge w:val="restart"/>
            <w:shd w:val="clear" w:color="auto" w:fill="auto"/>
            <w:vAlign w:val="center"/>
          </w:tcPr>
          <w:p>
            <w:pPr>
              <w:pStyle w:val="Normal(Web)"/>
              <w:divId w:val="27"/>
              <w:rPr>
                <w:vanish w:val="0"/>
              </w:rPr>
            </w:pPr>
            <w:r>
              <w:rPr>
                <w:b/>
                <w:i/>
              </w:rPr>
              <w:t xml:space="preserve">Nơi nhận:</w:t>
            </w:r>
            <w:r>
              <w:rPr>
                <w:b/>
                <w:i/>
              </w:rPr>
              <w:br/>
            </w:r>
            <w:r>
              <w:rPr>
                <w:b/>
                <w:i/>
              </w:rPr>
              <w:t xml:space="preserve"> </w:t>
            </w:r>
            <w:r>
              <w:t xml:space="preserve">- Văn phòng Chính phủ (Vụ KGVX, Công báo, Cổng thông tin điện tử CP);</w:t>
            </w:r>
            <w:r>
              <w:rPr/>
              <w:br/>
            </w:r>
            <w:r>
              <w:t xml:space="preserve">- Các Bộ, Cơ quan ngang Bộ, Cơ quan thuộc Chính phủ;</w:t>
            </w:r>
            <w:r>
              <w:rPr/>
              <w:br/>
            </w:r>
            <w:r>
              <w:t xml:space="preserve">- Bộ Tư pháp (Cục Kiểm tra văn bản QPPL);</w:t>
            </w:r>
            <w:r>
              <w:rPr/>
              <w:br/>
            </w:r>
            <w:r>
              <w:t xml:space="preserve">- Viện KSND tối cao; Tòa án nhân dân tối cao;</w:t>
            </w:r>
            <w:r>
              <w:rPr/>
              <w:br/>
            </w:r>
            <w:r>
              <w:t xml:space="preserve">- Bộ Y tế: Cục QLKCB, Vụ PC, Thanh tra Bộ, Viện GĐYK, Viện Pháp y QG, Viện Giám định PYTT TW, Cổng TTĐT BYT, Website Cục QL KCB;</w:t>
            </w:r>
            <w:r>
              <w:rPr/>
              <w:br/>
            </w:r>
            <w:r>
              <w:t xml:space="preserve">- Bộ LĐTB&amp;XH: Cục ATLĐ, Cục Người có công, Vụ BHXH, Cổng TTĐT Bộ LĐTB&amp;XH;</w:t>
            </w:r>
            <w:r>
              <w:rPr/>
              <w:br/>
            </w:r>
            <w:r>
              <w:t xml:space="preserve">- Sở Y tế tỉnh, thành phố trực thuộc TW; Y tế Bộ, ngành;</w:t>
            </w:r>
            <w:r>
              <w:rPr/>
              <w:br/>
            </w:r>
            <w:r>
              <w:t xml:space="preserve">- Sở LĐTB&amp;XH tỉnh, thành phố trực thuộc TW;</w:t>
            </w:r>
            <w:r>
              <w:rPr/>
              <w:br/>
            </w:r>
            <w:r>
              <w:t xml:space="preserve">- BHXH các tỉnh, thành phố trực thuộc TW;</w:t>
            </w:r>
            <w:r>
              <w:rPr/>
              <w:br/>
            </w:r>
            <w:r>
              <w:t xml:space="preserve">- Lưu LĐTB&amp;XH: VT, ATLĐ, PC;</w:t>
            </w:r>
            <w:r>
              <w:rPr/>
              <w:br/>
            </w:r>
            <w:r>
              <w:t xml:space="preserve">- Lưu BYT: VT, PC, KCB.</w:t>
            </w:r>
          </w:p>
        </w:tc>
        <w:tc>
          <w:tcPr>
            <w:tcW w:w="0" w:type="auto"/>
            <w:hMerge/>
            <w:shd w:val="clear" w:color="auto" w:fill="auto"/>
            <w:vAlign w:val="center"/>
          </w:tcPr>
          <w:p>
            <w:pPr/>
          </w:p>
        </w:tc>
      </w:tr>
    </w:tbl>
    <w:p>
      <w:pPr/>
    </w:p>
    <w:sectPr>
      <w:headerReference w:type="default" r:id="rId6"/>
      <w:footerReference w:type="default" r:id="rId7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lien-tich-21-2014-ttlt-byt-bldtbxh.aspx" TargetMode="External" /><Relationship Id="rId4" Type="http://schemas.openxmlformats.org/officeDocument/2006/relationships/hyperlink" Target="/thong-tu-lien-tich-so-28-2013-ttlt-byt-bldtbxh-cua-bo-y-te-bo-lao-dong--thuong-binh-va-xa-hoi---quy-dinh-ty-le-ton-thuong-co-the-do-thuong-tich--benh--tat-va-benh-nghe-nghiep.aspx" TargetMode="External" /><Relationship Id="rId5" Type="http://schemas.openxmlformats.org/officeDocument/2006/relationships/hyperlink" Target="/luat-bao-hiem-xa-hoi-nam-2014-so-58-2014-qh13.aspx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2022-06-22T11:32:43Z</dcterms:created>
  <dcterms:modified xsi:type="dcterms:W3CDTF">2022-06-22T11:32:43Z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2022-06-22T11:32:43Z</dcterms:created>
  <dcterms:modified xsi:type="dcterms:W3CDTF">2022-06-22T11:32:43Z</dcterms:modified>
</cp:coreProperties>
</file>