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73/2014/TT-BTC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5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MỨC THU, CHẾ ĐỘ THU, NỘP, QUẢN LÝ VÀ SỬ DỤNG PHÍ KIỂM ĐỊNH MÁY, THIẾT BỊ,VẬT TƯ CÓ YÊU CẦU NGHIÊM NGẶT VỀ AN TOÀN LAO ĐỘNG; PHÍ ĐÁNH GIÁ ĐIỀU KIỆN HOẠTĐỘNG KIỂM ĐỊNH VÀ LỆ PHÍ CẤP GIẤY CHỨNG NHẬN ĐỦ ĐIỀU KIỆN HOẠT ĐỘNG KIỂM ĐỊNHKỸ THUẬT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và lệphí số 38/2001/PL-UBTVQH10 ngày 28 tháng 8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57/2002/NĐ-CP </w:t>
        </w:r>
      </w:hyperlink>
      <w:r>
        <w:rPr>
          <w:i/>
        </w:rPr>
        <w:t xml:space="preserve"> ngày 03 tháng 6 năm 2002 của Chính phủ quy định chi tiết thi hànhPháp lệnh phí và lệ phí; Nghị định số 24/2006/NĐ-CP ngày 06 tháng 3 năm 2006sửa đổi, bổ sung một số điều của Nghị định số 57/2002/NĐ-CP ngày 03 tháng 6 năm2002;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45/2013/NĐ-CP </w:t>
        </w:r>
      </w:hyperlink>
      <w:r>
        <w:rPr>
          <w:i/>
        </w:rPr>
        <w:t xml:space="preserve"> ngày 10 tháng 5 năm 2013 của Chính phủ quy định chi tiết một sốđiều của Bộ luật Lao động về thời giờ làm việc, thời giờ nghỉ ngơi và an toànlao động, vệ sinh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năng,nhiệm vụ, quyền hạn và cơ cấu tổ chức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VụChính sách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banhành Thông tư quy định mức thu, chế độ thu, nộp, quản lý và sử dụng phí kiểm địnhmáy, thiết bị, vật tư có yêu cầu nghiêm ngặt về an toàn lao động; phí đánh giáđiều kiện hoạt động kiểm định và lệ phí cấp Giấy chứng nhận đủ điều kiện hoạtđộng kiểm định kỹ thuật an toàn lao động,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nộp phí, lệphí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sử dụng cácloại máy, thiết bị, vật tư có yêu cầu nghiêm ngặt về an toàn lao động khi đềnghị các Tổ chức hoạt động kiểm định kỹ thuật an toàn lao động (sau đây gọi tắtlà Tổ chức kiểm định) thực hiện kiểm định thì phải nộp phí kiểm định theo quyđịnh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khi nộp hồ sơ đề nghịđánh giá điều kiện hoạt động kiểm định kỹ thuật an toàn lao động thì phải nộpphí đánh giá điều kiện hoạt động và nộp lệ phí khi được cấp Giấy chứng nhận đủđiều kiện hoạt động kiểm định kỹ thuật an toàn lao động, theo quy định tạiThông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Đơn vị thu phí, lệphí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kiểm định (gồm đơn vịsự nghiệp và doanh nghiệp) thực hiện kiểm định là đơn vị thu phí kiểm định máy,thiết bị, vật tư có yêu cầu nghiêm ngặt về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An toàn lao động (Bộ Laođộng, Thương binh và Xã hội) là đơn vị thu phí đánh giá điều kiện hoạt độngkiểm định và lệ phí cấp Giấy chứng nhận đủ điều kiện hoạt động kiểm định kỹthuật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Mức thu 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phí kiểm định máy, thiếtbị, vật tư có yêu cầu nghiêm ngặt về an toàn lao động; phí đánh giá điều kiệnhoạt động kiểm định; lệ phí cấp Giấy chứng nhận đủ điều kiện hoạt động kiểmđịnh kỹ thuật an toàn lao động thực hiện theo Biểu mức thu phí, lệ phí ban hànhkèm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phí kiểm định áp dụng tạiTổ chức kiểm định là doanh nghiệp đã bao gồm thuế giá trị gia tăng.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Quản lý và sử dụngphí,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kiểm định máy, thiết bị,vật tư yêu cầu nghiêm ngặt về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Phí do đơn vị sự nghiệp thulà khoản thu thuộc ngân sách nhà nước, đơn vị thu phí được trích để lại 90% sốtiền phí thu được để trang trải chi phí cho các nội dung chi quy định tại Thôngtư số </w:t>
      </w:r>
      <w:hyperlink r:id="rId7" w:history="1">
        <w:r>
          <w:rPr>
            <w:rStyle w:val="Hyperlink"/>
          </w:rPr>
          <w:t xml:space="preserve">45/2006/TT-BTC </w:t>
        </w:r>
      </w:hyperlink>
      <w:r>
        <w:t xml:space="preserve"> ngày 25 tháng 5 năm 2006 của Bộ Tài chính sửa đổi, bổ sungThông tư số 63/2002/TT-BTC ngày 24 tháng 7 năm 2002 hướng dẫn thực hiện các quyđịnh pháp luật về phí 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thu phí nộp 10% số tiềnphí còn lại vào ngân sách nhà nước theo Chương, mục, tiểu mục của Mục lục ngânsách nhà nước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phí, đơn vị thu phí cấpbiên lai cho người nộp phí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Phí kiểm định do Tổ chức kiểmđịnh là doanh nghiệp thu là khoản thu không thuộc ngân sách nhà nước. Doanhnghiệp có nghĩa vụ nộp thuế theo quy định của pháp luật đối với số phí thu đượcvà quản lý, sử dụng số tiền thu phí sau khi đã nộp thuế theo quy định. Khi thuphí, doanh nghiệp cấp hóa đơn cho người nộp phí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đánh giá điều kiện hoạtđộng kiểm định và lệ phí cấp Giấy chứng nhận đủ điều kiện hoạt động kiểm địnhkỹ thuật an toàn lao động là khoản thu thuộc ngân sách nhà nước, đơn vị thuphí, lệ phí được trích để lại 90% số tiền phí thu được để trang trải chi phícho các nội dung chi quy định tại Thông tư số 45/2006/TT-BTC ngày 25 tháng 5năm 2006 sửa đổi, bổ sung Thông tư số 63/2002/TT-BTC ngày 24 tháng 7 năm 2002hướng dẫn thực hiện các quy định pháp luật về phí và lệ phí. Đơn vị thu phí, lệphí nộp 10% số tiền phí còn lại và 100% lệ phí thu được vào ngân sách nhà nướctheo Chương, mục, tiểu mục của Mục lục ngân sách nhà nước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phí, lệ phí, đơn vị thucấp biên lai cho người nộp phí, lệ phí theo 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nội dung khác liên quanđến việc thu, nộp, quản lý, sử dụng, công khai chế độ thu phí, lệ phí khônghướng dẫn tại Thông tư này được thực hiện theo hướng dẫn tại Thông tư số63/2002/TT-BTC ngày 24 tháng 7 năm 2002 của Bộ Tài chính hướng dẫn thực hiệncác quy định pháp luật về phí và lệ phí, Thông tư số 45/2006/TT-BTC ngày 25tháng 5 năm 2006 sửa đổi, bổ sung Thông tư số 63/2002/TT-BTC ngày 24 tháng 7năm 2002, Thông tư số 156/2013/TT-BTC ngày 06 tháng 11 năm 2013 của Bộ Tàichính hướng dẫn thi hành một số điều của Luật quản lý thuế; Luật sửa đổi, bổsung một số điều của Luật quản lý thuế và Nghị định số 83/2013/NĐ-CP ngày 22tháng 7 năm 2013 của Chính phủ, Thông tư số 153/2012/TT-BTC ngày 17 tháng 9 năm2012 của Bộ Tài chính hướng dẫn việc in, phát hành, quản lý và sử dụng các loạichứng từ thu tiền phí, lệ phí thuộc ngân sách nhà nước, Thông tư số 64/2013/TT-BTC ngày 15 tháng 5 năm 2013 của Bộ Tài chính hướng dẫn thi hànhNghị định 51/2010/NĐ-CP ngày 14 tháng 5 năm 2010 của Chính phủ quy định về hoáđơn bán hàng hóa, cung ứng dịch vụ và các văn bản sửa đổi, bổ sung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kể từ ngày 15 tháng 7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8" w:history="1">
        <w:r>
          <w:rPr>
            <w:rStyle w:val="Hyperlink"/>
          </w:rPr>
          <w:t xml:space="preserve">20/2009/TT-BTC </w:t>
        </w:r>
      </w:hyperlink>
      <w:r>
        <w:t xml:space="preserve"> ngày 04 tháng 02 năm 2009 của Bộ Tài chính quy định mức thu, chếđộ thu, nộp, quản lý và sử dụng phí kiểm định các loại máy móc, thiết bị, vậttư có yêu cầu nghiêm ngặt về an toàn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hiện,nếu có vướng mắc, đề nghị các cơ quan, tổ chức, cá nhân phản ánh kịp thời về BộTài chính để nghiên cứu,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Công báo;</w:t>
            </w:r>
            <w:r>
              <w:rPr/>
              <w:br/>
            </w:r>
            <w:r>
              <w:t xml:space="preserve">- Cục kiểm tra văn bản (Bộ Tư pháp);</w:t>
            </w:r>
            <w:r>
              <w:rPr/>
              <w:br/>
            </w:r>
            <w:r>
              <w:t xml:space="preserve">- Uỷ ban nhân dân, Sở Tài chính, Cục Thuế, Kho bạc nhà nước</w:t>
            </w:r>
            <w:r>
              <w:rPr/>
              <w:br/>
            </w:r>
            <w:r>
              <w:t xml:space="preserve">Các tỉnh, thành phố trực thuộc Trung ương;</w:t>
            </w:r>
            <w:r>
              <w:rPr/>
              <w:br/>
            </w:r>
            <w:r>
              <w:t xml:space="preserve">- Các đơn vị thuộc Bộ Tài chính;</w:t>
            </w:r>
            <w:r>
              <w:rPr/>
              <w:br/>
            </w:r>
            <w:r>
              <w:t xml:space="preserve">- Website Chính phủ;</w:t>
            </w:r>
            <w:r>
              <w:rPr/>
              <w:br/>
            </w:r>
            <w:r>
              <w:t xml:space="preserve">- Website Bộ Tài chính;</w:t>
            </w:r>
            <w:r>
              <w:rPr/>
              <w:br/>
            </w:r>
            <w:r>
              <w:t xml:space="preserve">- Lưu VT, CST (CST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MỨC THU 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Thông tư số 73 / 2014/TT-BTC ngày 30 / 5 /2014)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kiểm định các máy, thiết bị, vật tư có yêu cầu nghiêm ngặt về an toàn lao động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w:t>
            </w:r>
          </w:p>
        </w:tc>
        <w:tc>
          <w:tcPr>
            <w:tcW w:w="0" w:type="auto"/>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w:t>
            </w: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tính kỹ thuật</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nhỏ hơn 01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01 tấn/giờ đến 02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02 tấn/giờ đến 06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06 tấn/giờ đến 10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10 tấn/giờ đến 15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15 tấn/giờ đến 25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25 tấn/giờ đến 50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50 tấn/giờ đến 75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75 tấn/giờ đến 125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125 tấn/giờ đến 200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200 tấn/giờ đến 400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trên 400 tấn/giờ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chịu áp lực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đến 02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trên 02 m</w:t>
            </w:r>
            <w:r>
              <w:rPr>
                <w:vertAlign w:val="superscript"/>
              </w:rPr>
              <w:t xml:space="preserve">3</w:t>
            </w:r>
            <w:r>
              <w:t xml:space="preserve"> đến 10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trên 10 m</w:t>
            </w:r>
            <w:r>
              <w:rPr>
                <w:vertAlign w:val="superscript"/>
              </w:rPr>
              <w:t xml:space="preserve">3</w:t>
            </w:r>
            <w:r>
              <w:t xml:space="preserve"> đến 25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trên 25 m</w:t>
            </w:r>
            <w:r>
              <w:rPr>
                <w:vertAlign w:val="superscript"/>
              </w:rPr>
              <w:t xml:space="preserve">3</w:t>
            </w:r>
            <w:r>
              <w:t xml:space="preserve"> đến 50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trên 50 m</w:t>
            </w:r>
            <w:r>
              <w:rPr>
                <w:vertAlign w:val="superscript"/>
              </w:rPr>
              <w:t xml:space="preserve">3</w:t>
            </w:r>
            <w:r>
              <w:t xml:space="preserve"> đến 100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từ trên 100 m</w:t>
            </w:r>
            <w:r>
              <w:rPr>
                <w:vertAlign w:val="superscript"/>
              </w:rPr>
              <w:t xml:space="preserve">3</w:t>
            </w:r>
            <w:r>
              <w:t xml:space="preserve"> đến 500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trên 500 m</w:t>
            </w:r>
            <w:r>
              <w:rPr>
                <w:vertAlign w:val="superscript"/>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lạnh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lạnh đến 30.000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lạnh từ trên 30.000 Kcal/h đến 100.000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lạnh từ trên 100.000 Kcal/h đến 1.000.000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suất lạnh trên 1.000.000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dẫn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dẫn hơi nước, nước nóng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ống đến 150 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ống trên 150 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dẫn khí đốt kim loại, phi kim loại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ống đến 150 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ống trên 150 mm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trục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trục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dưới 3,0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3,0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7,5 tấn đến 15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15 tấn đến 30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30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75 tấn đến 100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trên 100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trục tháp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dưới 4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4 tấn đến 10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10 tấn đến 40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trên 40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máy trục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dưới 3,0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3,0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7,5 tấn đến 15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15 tấn đến 30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30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từ trên 75 tấn đến 100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trên 100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Trục tải, cáp treo vận chuyển người, Tời thủ công có tải trọng từ 1.000 kg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đến 1,0 tấn và góc nâng từ 0 độ đến 35 độ.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trên 1 tấn và góc nâng trên 35 độ đến 90 độ.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treo vận chuyển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Mét dài cáp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thủ công có tải trọng 1.000 kg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vận thăng nâng hàng, nâng hàng kèm người, nâng người; Sàn nâng người, nâng hàng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nâng dưới 3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nâng từ 3 tấn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người có số lượng đến 10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người có số lượng trên 10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máy các loại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máy dưới 10 tầng dừng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máy từ 10 tầng dừng đến 20 tầng dừng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máy trên 20 tầng dừng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Palăng điện, xích kéo tay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Palăng điện tải trọng đến 3 tấn, palăng xích kéo tay tải trọng nâng từ 1 tấn đến 3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Palăng điện, palăng xích kéo tay tải trọng nâng từ trên 3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Palăng điện, xích kéo tay tải trọng nâng trên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hàng dùng động cơ có tải trọng từ 1,0 tấn trở lên, xe tự hành nâng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nâng từ 1 tấn đến 3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nâng từ trên 3 tấn đến 7,5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nâng từ trên 7,5 tấn đến 15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Tải trọng trên 15 tấn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tự hành nâng người (không phân biệt tải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điều chế; nạp khí; khí hóa lỏng, hòa tan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có 20 miệng nạp trở xuống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có 21 miệng nạp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dùng để chứa, chuyên chở khí nén, khí hóa lỏng, khí hòa tan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chứa khí đốt hóa lỏng dung tích nhỏ hơn 30 lít (Kiểm định định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chứa khí đốt hóa lỏng dung tích từ 30 lít trở lên (Kiểm định định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chứa khí đốt hóa lỏng tiêu chuẩn (Kiểm định lần đầu)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khác (không kể dung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chứa khí độc (không kể dung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lượn, đu quay, máng trượt và các công trình vui chơi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lượn, đu quay số lượng dưới 20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lượn, đu quay có số lượng từ 21 người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Máng trượt và công trình vui chơi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 biểu diễn, khán đài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cuốn, băng tải chở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cuốn không kể năng suất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tải chở người không kể năng suất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đun nước nóng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nhỏ hơn 500.000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500.000 đến 750.000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750.000 Kcal/h đến 1.000.000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1.000.000 Kcal/h đến 1.500.000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1.500.000 Kcal/h đến 2.000.000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trên 2.000.000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gia nhiệt dầu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nhỏ hơn 1.000.000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1.000.000 đến 2.000.000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từ trên 2.000.000 Kcal/h đến 4.000.000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trên 4.000.000 Kcal/h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w:t>
            </w:r>
            <w:r>
              <w:rPr>
                <w:b/>
              </w:rPr>
              <w:t xml:space="preserve">hí đánh giá điều kiện hoạt động khi cấp, cấp lại, bổ sung Giấy chứng nhận đủ điều kiện hoạt động kiểm định kỹ thuật an toàn lao động</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hí đánh giá điều kiện hoạt động khi cấp, cấp lại trong trường hợp hết thời hạn ghi trên giấy Giấy chứng nhận đủ điều kiện hoạt động kiểm định kỹ thuật an toàn lao động</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hí đánh giá điều kiện hoạt động khi cấp lại trong trường hợp bổ sung lĩnh vực hoạt động Giấy chứng nhận đủ điều kiện hoạt động kiểm định kỹ thuật an toàn lao động</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ệ phí cấp, cấp lại Giấy chứng nhận đủ điều kiện hoạt động kiểm định kỹ thuật an toàn lao động</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lần đầu, cấp lại Giấy chứng nhận do hết thời hạn</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Giấy chứng nhận do bị mất, hỏng</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sửa đổi Giấy chứng nhận</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w:t>
      </w:r>
      <w:r>
        <w:t xml:space="preserve">Khôngthu phí đánh giá điều kiện hoạt động trong trường hợp cấp lại do bị mất, hưhỏng Giấy chứng nhận đủ điều kiện hoạt động kiểm định kỹ thuật an toàn laođộng./.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3-2014-tt-btc-cua-bo-tai-chinh-quy-dinh-muc-thu--che-do-thu--nop--quan-ly-va-su-dung-phi-kiem-dinh-may--thiet-bi--vat-tu-co-yeu-cau-nghiem-ngat-ve-an-toan-lao-dong--phi-danh-gia-dieu-kien-ho.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45-2013-nd-cp-quy-dinh-chi-tiet-mot-so-dieu-cua-bo-luat-lao-dong-ve-thoi-gio-lam-viec--thoi-gio-nghi-ngoi-va-an-toan-lao-dong--ve-sinh-lao-dong-.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45-2006-tt-btc-huong-dan-thuc-hien-cac-quy-dinh-phap-luat-ve-phi-va-le-phi.aspx" TargetMode="External" /><Relationship Id="rId8" Type="http://schemas.openxmlformats.org/officeDocument/2006/relationships/hyperlink" Target="/thong-tu-so-20-2009-tt-btc-cua-bo-tai-chinh---quy-dinh-ve-muc-thu--che-do-thu--nop--quan-ly-va-su-dung-phi-kiem-dinh-cac-loai-may-moc--thiet-bi--vat-tu-co-yeu-cau-nghiem-ngat-ve-an-toan-lao-do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2022-06-22T10:46:13Z</dcterms:created>
  <dcterms:modified xsi:type="dcterms:W3CDTF">2022-06-22T10:46:13Z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2022-06-22T10:46:13Z</dcterms:created>
  <dcterms:modified xsi:type="dcterms:W3CDTF">2022-06-22T10:46:13Z</dcterms:modified>
</cp:coreProperties>
</file>