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w:t>
            </w:r>
          </w:p>
          <w:p>
            <w:pPr>
              <w:pStyle w:val="Normal(Web)"/>
              <w:divId w:val="3"/>
              <w:jc w:val="center"/>
              <w:rPr>
                <w:vanish w:val="0"/>
              </w:rPr>
            </w:pPr>
            <w:r>
              <w:t xml:space="preserve">Số: 63</w:t>
            </w:r>
            <w:r>
              <w:t xml:space="preserve">/ 2015/TT-BTC </w:t>
            </w:r>
          </w:p>
        </w:tc>
        <w:tc>
          <w:tcPr>
            <w:tcW w:w="0" w:type="auto"/>
            <w:shd w:val="clear" w:color="auto" w:fill="auto"/>
            <w:vAlign w:val="center"/>
          </w:tcPr>
          <w:p>
            <w:pPr>
              <w:pStyle w:val="Normal(Web)"/>
              <w:divId w:val="4"/>
              <w:jc w:val="center"/>
              <w:rPr>
                <w:vanish w:val="0"/>
              </w:rPr>
            </w:pPr>
            <w:r>
              <w:rPr>
                <w:b/>
              </w:rPr>
              <w:t xml:space="preserve">CỘNG HOÀ XÃ HỘI CHỦ NGHĨA VIỆT NAM</w:t>
            </w:r>
          </w:p>
          <w:p>
            <w:pPr>
              <w:pStyle w:val="Normal(Web)"/>
              <w:divId w:val="5"/>
              <w:jc w:val="center"/>
              <w:rPr>
                <w:vanish w:val="0"/>
              </w:rPr>
            </w:pPr>
            <w:r>
              <w:rPr>
                <w:b/>
              </w:rPr>
              <w:t xml:space="preserve">Độc lập </w:t>
            </w:r>
            <w:r>
              <w:t xml:space="preserve">–</w:t>
            </w:r>
            <w:r>
              <w:rPr>
                <w:b/>
              </w:rPr>
              <w:t xml:space="preserve"> Tự do </w:t>
            </w:r>
            <w:r>
              <w:t xml:space="preserve">–</w:t>
            </w:r>
            <w:r>
              <w:rPr>
                <w:b/>
              </w:rPr>
              <w:t xml:space="preserve"> Hạnh phúc</w:t>
            </w:r>
          </w:p>
          <w:p>
            <w:pPr>
              <w:pStyle w:val="Normal(Web)"/>
              <w:divId w:val="6"/>
              <w:jc w:val="center"/>
              <w:rPr>
                <w:vanish w:val="0"/>
              </w:rPr>
            </w:pPr>
            <w:r>
              <w:t xml:space="preserve">-------------------------</w:t>
            </w:r>
          </w:p>
          <w:p>
            <w:pPr>
              <w:pStyle w:val="Normal(Web)"/>
              <w:divId w:val="7"/>
              <w:jc w:val="right"/>
              <w:rPr>
                <w:vanish w:val="0"/>
              </w:rPr>
            </w:pPr>
            <w:r>
              <w:rPr>
                <w:i/>
              </w:rPr>
              <w:t xml:space="preserve">Hà Nội, ngày 6 tháng 5 năm 2015</w:t>
            </w:r>
          </w:p>
        </w:tc>
      </w:tr>
    </w:tbl>
    <w:p>
      <w:pPr>
        <w:pStyle w:val="Normal(Web)"/>
        <w:divId w:val="8"/>
        <w:rPr>
          <w:vanish w:val="0"/>
        </w:rPr>
      </w:pPr>
      <w:r>
        <w:rPr>
          <w:b/>
        </w:rPr>
        <w:t xml:space="preserve">THÔNG TƯ</w:t>
      </w:r>
    </w:p>
    <w:p>
      <w:pPr>
        <w:pStyle w:val="Normal(Web)"/>
        <w:divId w:val="9"/>
        <w:jc w:val="center"/>
        <w:rPr>
          <w:vanish w:val="0"/>
        </w:rPr>
      </w:pPr>
      <w:r>
        <w:rPr>
          <w:b/>
        </w:rPr>
        <w:t xml:space="preserve">Sửa đổi mức thuế suất thuế xuất khẩu đối với mặt hàng sắn thuộc </w:t>
      </w:r>
    </w:p>
    <w:p>
      <w:pPr>
        <w:pStyle w:val="Normal(Web)"/>
        <w:divId w:val="10"/>
        <w:jc w:val="center"/>
        <w:rPr>
          <w:vanish w:val="0"/>
        </w:rPr>
      </w:pPr>
      <w:r>
        <w:rPr>
          <w:b/>
        </w:rPr>
        <w:t xml:space="preserve">nhóm 07.14 tại Biểu thuế xuất khẩu ban hành kèm theo Thông tư số </w:t>
      </w:r>
      <w:hyperlink r:id="rId3" w:history="1">
        <w:r>
          <w:rPr>
            <w:rStyle w:val="Hyperlink"/>
            <w:b/>
          </w:rPr>
          <w:t xml:space="preserve">164/2013/TT-BTC </w:t>
        </w:r>
      </w:hyperlink>
      <w:r>
        <w:rPr>
          <w:b/>
        </w:rPr>
        <w:t xml:space="preserve"> ngày 15/11/2013 của Bộ trưởng Bộ Tài chính</w:t>
      </w:r>
    </w:p>
    <w:p>
      <w:pPr>
        <w:pStyle w:val="Normal(Web)"/>
        <w:divId w:val="11"/>
        <w:jc w:val="center"/>
        <w:rPr>
          <w:vanish w:val="0"/>
        </w:rPr>
      </w:pPr>
      <w:r>
        <w:t xml:space="preserve">---------------------</w:t>
      </w:r>
    </w:p>
    <w:p>
      <w:pPr>
        <w:pStyle w:val="Normal(Web)"/>
        <w:divId w:val="12"/>
        <w:rPr>
          <w:vanish w:val="0"/>
        </w:rPr>
      </w:pPr>
      <w:r>
        <w:rPr>
          <w:i/>
        </w:rPr>
        <w:t xml:space="preserve">Căn cứ Luật Thuế xuất khẩu, Thuế nhập khẩu ngày 14/6/2005;</w:t>
      </w:r>
    </w:p>
    <w:p>
      <w:pPr>
        <w:pStyle w:val="Normal(Web)"/>
        <w:divId w:val="13"/>
        <w:rPr>
          <w:vanish w:val="0"/>
        </w:rPr>
      </w:pPr>
      <w:r>
        <w:rPr>
          <w:i/>
        </w:rPr>
        <w:t xml:space="preserve">Căn cứ Nghị quyết số 710/2008/NQ-UBTVQH12 ngày 22/11/2008 của Ủy ban Thường vụ Quốc hội về việc sửa đổi Nghị quyết số 295/2007/NQ-UBTVQH12 ngày 28/9/2007 của Uỷ ban thường vụ Quốc hội về việc ban hành Biểu thuế xuất khẩu theo danh mục nhóm hàng chịu thuế và khung thuế suất đối với từng nhóm hàng, Biểu thuế nhập khẩu ưu đãi theo danh mục nhóm hàng chịu thuế và khung thuế suất ưu đãi đối với từng nhóm hàng;</w:t>
      </w:r>
    </w:p>
    <w:p>
      <w:pPr>
        <w:pStyle w:val="Normal(Web)"/>
        <w:divId w:val="14"/>
        <w:rPr>
          <w:vanish w:val="0"/>
        </w:rPr>
      </w:pPr>
      <w:r>
        <w:rPr>
          <w:i/>
        </w:rPr>
        <w:t xml:space="preserve">Căn cứ Nghị định số </w:t>
      </w:r>
      <w:hyperlink r:id="rId4" w:history="1">
        <w:r>
          <w:rPr>
            <w:rStyle w:val="Hyperlink"/>
            <w:i/>
          </w:rPr>
          <w:t xml:space="preserve">87/2010/NĐ-CP </w:t>
        </w:r>
      </w:hyperlink>
      <w:r>
        <w:rPr>
          <w:i/>
        </w:rPr>
        <w:t xml:space="preserve"> ngày 13/8/2010 của Chính phủ quy định chi tiết thi hành một số điều của Luật Thuế xuất khẩu, Thuế nhập khẩu;</w:t>
      </w:r>
    </w:p>
    <w:p>
      <w:pPr>
        <w:pStyle w:val="Normal(Web)"/>
        <w:divId w:val="15"/>
        <w:rPr>
          <w:vanish w:val="0"/>
        </w:rPr>
      </w:pPr>
      <w:r>
        <w:rPr>
          <w:i/>
        </w:rPr>
        <w:t xml:space="preserve">Căn cứ Nghị định số </w:t>
      </w:r>
      <w:hyperlink r:id="rId5" w:history="1">
        <w:r>
          <w:rPr>
            <w:rStyle w:val="Hyperlink"/>
            <w:i/>
          </w:rPr>
          <w:t xml:space="preserve">215/2013/NĐ-CP </w:t>
        </w:r>
      </w:hyperlink>
      <w:r>
        <w:rPr>
          <w:i/>
        </w:rPr>
        <w:t xml:space="preserve"> ngày 23/12/2013 của Chính phủ quy định chức năng, nhiệm vụ, quyền hạn và cơ cấu tổ chức của Bộ Tài chính;</w:t>
      </w:r>
    </w:p>
    <w:p>
      <w:pPr>
        <w:pStyle w:val="Normal(Web)"/>
        <w:divId w:val="16"/>
        <w:rPr>
          <w:vanish w:val="0"/>
        </w:rPr>
      </w:pPr>
      <w:r>
        <w:rPr>
          <w:i/>
        </w:rPr>
        <w:t xml:space="preserve">Theo đề nghị của Vụ trưởng Vụ Chính sách Thuế;</w:t>
      </w:r>
    </w:p>
    <w:p>
      <w:pPr>
        <w:pStyle w:val="Normal(Web)"/>
        <w:divId w:val="17"/>
        <w:rPr>
          <w:vanish w:val="0"/>
        </w:rPr>
      </w:pPr>
      <w:r>
        <w:rPr>
          <w:i/>
        </w:rPr>
        <w:t xml:space="preserve">Bộ trưởng Bộ Tài chính ban hành Thông tư sửa đổi mức thuế suất thuế xuất khẩu đối với mặt hàng sắn thuộc nhóm 07.14 tại Biểu thuế xuất khẩu ban hành kèm theo Thông tư số 164/2013/TT-BTC ngày 15/11/2013 của Bộ trưởng Bộ Tài chính.</w:t>
      </w:r>
    </w:p>
    <w:p>
      <w:pPr>
        <w:pStyle w:val="Normal(Web)"/>
        <w:divId w:val="18"/>
        <w:rPr>
          <w:vanish w:val="0"/>
        </w:rPr>
      </w:pPr>
      <w:r>
        <w:rPr>
          <w:b/>
        </w:rPr>
        <w:t xml:space="preserve">Điều 1. Sửa đổi mức thuế suất thuế xuất khẩu </w:t>
      </w:r>
    </w:p>
    <w:p>
      <w:pPr>
        <w:pStyle w:val="Normal(Web)"/>
        <w:divId w:val="19"/>
        <w:rPr>
          <w:vanish w:val="0"/>
        </w:rPr>
      </w:pPr>
      <w:r>
        <w:t xml:space="preserve">Sửa đổi mức thuế suất thuế xuất khẩu đối với mặt hàng sắn thuộc nhóm 07.14 tại Biểu thuế xuất khẩu ban hành kèm theo Thông tư số 164/2013/TT-BTC ngày 15/11/2013 của Bộ Tài chính ban hành Biểu thuế xuất khẩu, Biểu thuế nhập khẩu ưu đãi theo danh mục mặt hàng chịu thuế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0"/>
              <w:jc w:val="center"/>
              <w:rPr>
                <w:vanish w:val="0"/>
              </w:rPr>
            </w:pPr>
            <w:r>
              <w:rPr>
                <w:b/>
              </w:rPr>
              <w:t xml:space="preserve">Mã hàng</w:t>
            </w:r>
          </w:p>
        </w:tc>
        <w:tc>
          <w:tcPr>
            <w:tcW w:w="0" w:type="auto"/>
            <w:shd w:val="clear" w:color="auto" w:fill="auto"/>
            <w:vAlign w:val="center"/>
          </w:tcPr>
          <w:p>
            <w:pPr>
              <w:pStyle w:val="Normal(Web)"/>
              <w:divId w:val="21"/>
              <w:jc w:val="center"/>
              <w:rPr>
                <w:vanish w:val="0"/>
              </w:rPr>
            </w:pPr>
            <w:r>
              <w:rPr>
                <w:b/>
              </w:rPr>
              <w:t xml:space="preserve">Mô tả hàng hóa</w:t>
            </w:r>
          </w:p>
        </w:tc>
        <w:tc>
          <w:tcPr>
            <w:tcW w:w="0" w:type="auto"/>
            <w:shd w:val="clear" w:color="auto" w:fill="auto"/>
            <w:vAlign w:val="center"/>
          </w:tcPr>
          <w:p>
            <w:pPr>
              <w:pStyle w:val="Normal(Web)"/>
              <w:divId w:val="22"/>
              <w:jc w:val="center"/>
              <w:rPr>
                <w:vanish w:val="0"/>
              </w:rPr>
            </w:pPr>
            <w:r>
              <w:rPr>
                <w:b/>
              </w:rPr>
              <w:t xml:space="preserve">Thuế suất (%)</w:t>
            </w:r>
          </w:p>
        </w:tc>
      </w:tr>
      <w:tr>
        <w:trPr>
          <w:jc w:val="left"/>
        </w:trPr>
        <w:tc>
          <w:tcPr>
            <w:tcW w:w="0" w:type="auto"/>
            <w:shd w:val="clear" w:color="auto" w:fill="auto"/>
            <w:vAlign w:val="center"/>
          </w:tcPr>
          <w:p>
            <w:pPr>
              <w:pStyle w:val="Normal(Web)"/>
              <w:divId w:val="23"/>
              <w:rPr>
                <w:vanish w:val="0"/>
              </w:rPr>
            </w:pPr>
            <w:r>
              <w:rPr>
                <w:b/>
              </w:rPr>
              <w:t xml:space="preserve">07.14</w:t>
            </w:r>
          </w:p>
        </w:tc>
        <w:tc>
          <w:tcPr>
            <w:tcW w:w="0" w:type="auto"/>
            <w:shd w:val="clear" w:color="auto" w:fill="auto"/>
            <w:vAlign w:val="center"/>
          </w:tcPr>
          <w:p>
            <w:pPr>
              <w:pStyle w:val="Normal(Web)"/>
              <w:divId w:val="24"/>
              <w:rPr>
                <w:vanish w:val="0"/>
              </w:rPr>
            </w:pPr>
            <w:r>
              <w:rPr>
                <w:b/>
              </w:rPr>
              <w:t xml:space="preserve">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tc>
      </w:tr>
      <w:tr>
        <w:trPr>
          <w:jc w:val="left"/>
        </w:trPr>
        <w:tc>
          <w:tcPr>
            <w:tcW w:w="0" w:type="auto"/>
            <w:shd w:val="clear" w:color="auto" w:fill="auto"/>
            <w:vAlign w:val="center"/>
          </w:tcPr>
          <w:p>
            <w:pPr>
              <w:pStyle w:val="Normal(Web)"/>
              <w:divId w:val="25"/>
              <w:rPr>
                <w:vanish w:val="0"/>
              </w:rPr>
            </w:pPr>
            <w:r>
              <w:t xml:space="preserve">0714.10</w:t>
            </w:r>
          </w:p>
        </w:tc>
        <w:tc>
          <w:tcPr>
            <w:tcW w:w="0" w:type="auto"/>
            <w:shd w:val="clear" w:color="auto" w:fill="auto"/>
            <w:vAlign w:val="center"/>
          </w:tcPr>
          <w:p>
            <w:pPr>
              <w:pStyle w:val="Normal(Web)"/>
              <w:divId w:val="26"/>
              <w:rPr>
                <w:vanish w:val="0"/>
              </w:rPr>
            </w:pPr>
            <w:r>
              <w:t xml:space="preserve">- Sắn:</w:t>
            </w:r>
          </w:p>
        </w:tc>
      </w:tr>
      <w:tr>
        <w:trPr>
          <w:jc w:val="left"/>
        </w:trPr>
        <w:tc>
          <w:tcPr>
            <w:tcW w:w="0" w:type="auto"/>
            <w:shd w:val="clear" w:color="auto" w:fill="auto"/>
            <w:vAlign w:val="center"/>
          </w:tcPr>
          <w:p>
            <w:pPr>
              <w:pStyle w:val="Normal(Web)"/>
              <w:divId w:val="27"/>
              <w:rPr>
                <w:vanish w:val="0"/>
              </w:rPr>
            </w:pPr>
            <w:r>
              <w:t xml:space="preserve">- - Thái lát hoặc đã làm thành dạng viên:</w:t>
            </w:r>
          </w:p>
        </w:tc>
      </w:tr>
      <w:tr>
        <w:trPr>
          <w:jc w:val="left"/>
        </w:trPr>
        <w:tc>
          <w:tcPr>
            <w:tcW w:w="0" w:type="auto"/>
            <w:shd w:val="clear" w:color="auto" w:fill="auto"/>
            <w:vAlign w:val="center"/>
          </w:tcPr>
          <w:p>
            <w:pPr>
              <w:pStyle w:val="Normal(Web)"/>
              <w:divId w:val="28"/>
              <w:rPr>
                <w:vanish w:val="0"/>
              </w:rPr>
            </w:pPr>
            <w:r>
              <w:t xml:space="preserve">0714.10.11</w:t>
            </w:r>
          </w:p>
        </w:tc>
        <w:tc>
          <w:tcPr>
            <w:tcW w:w="0" w:type="auto"/>
            <w:shd w:val="clear" w:color="auto" w:fill="auto"/>
            <w:vAlign w:val="center"/>
          </w:tcPr>
          <w:p>
            <w:pPr>
              <w:pStyle w:val="Normal(Web)"/>
              <w:divId w:val="29"/>
              <w:rPr>
                <w:vanish w:val="0"/>
              </w:rPr>
            </w:pPr>
            <w:r>
              <w:t xml:space="preserve">- - - Lát đã được làm khô</w:t>
            </w:r>
          </w:p>
        </w:tc>
        <w:tc>
          <w:tcPr>
            <w:tcW w:w="0" w:type="auto"/>
            <w:shd w:val="clear" w:color="auto" w:fill="auto"/>
            <w:vAlign w:val="center"/>
          </w:tcPr>
          <w:p>
            <w:pPr>
              <w:pStyle w:val="Normal(Web)"/>
              <w:divId w:val="30"/>
              <w:jc w:val="center"/>
              <w:rPr>
                <w:vanish w:val="0"/>
              </w:rPr>
            </w:pPr>
            <w:r>
              <w:rPr>
                <w:b/>
                <w:i/>
              </w:rPr>
              <w:t xml:space="preserve">5</w:t>
            </w:r>
          </w:p>
        </w:tc>
      </w:tr>
      <w:tr>
        <w:trPr>
          <w:jc w:val="left"/>
        </w:trPr>
        <w:tc>
          <w:tcPr>
            <w:tcW w:w="0" w:type="auto"/>
            <w:shd w:val="clear" w:color="auto" w:fill="auto"/>
            <w:vAlign w:val="center"/>
          </w:tcPr>
          <w:p>
            <w:pPr>
              <w:pStyle w:val="Normal(Web)"/>
              <w:divId w:val="31"/>
              <w:rPr>
                <w:vanish w:val="0"/>
              </w:rPr>
            </w:pPr>
            <w:r>
              <w:t xml:space="preserve">0714.10.19</w:t>
            </w:r>
          </w:p>
        </w:tc>
        <w:tc>
          <w:tcPr>
            <w:tcW w:w="0" w:type="auto"/>
            <w:shd w:val="clear" w:color="auto" w:fill="auto"/>
            <w:vAlign w:val="center"/>
          </w:tcPr>
          <w:p>
            <w:pPr>
              <w:pStyle w:val="Normal(Web)"/>
              <w:divId w:val="32"/>
              <w:rPr>
                <w:vanish w:val="0"/>
              </w:rPr>
            </w:pPr>
            <w:r>
              <w:t xml:space="preserve">- - - Loại khác</w:t>
            </w:r>
          </w:p>
        </w:tc>
        <w:tc>
          <w:tcPr>
            <w:tcW w:w="0" w:type="auto"/>
            <w:shd w:val="clear" w:color="auto" w:fill="auto"/>
            <w:vAlign w:val="center"/>
          </w:tcPr>
          <w:p>
            <w:pPr>
              <w:pStyle w:val="Normal(Web)"/>
              <w:divId w:val="33"/>
              <w:jc w:val="center"/>
              <w:rPr>
                <w:vanish w:val="0"/>
              </w:rPr>
            </w:pPr>
            <w:r>
              <w:rPr>
                <w:b/>
                <w:i/>
              </w:rPr>
              <w:t xml:space="preserve">5</w:t>
            </w:r>
          </w:p>
        </w:tc>
      </w:tr>
    </w:tbl>
    <w:p>
      <w:pPr>
        <w:pStyle w:val="Normal(Web)"/>
        <w:divId w:val="34"/>
        <w:rPr>
          <w:vanish w:val="0"/>
        </w:rPr>
      </w:pPr>
      <w:r>
        <w:rPr>
          <w:b/>
        </w:rPr>
        <w:t xml:space="preserve">Điều 2. Hiệu lực thi hành</w:t>
      </w:r>
    </w:p>
    <w:p>
      <w:pPr>
        <w:pStyle w:val="Normal(Web)"/>
        <w:divId w:val="35"/>
        <w:rPr>
          <w:vanish w:val="0"/>
        </w:rPr>
      </w:pPr>
      <w:r>
        <w:t xml:space="preserve">Thông tư này có hiệu lực thi hành kể từ ngày 20 tháng 6 năm 2015./.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6"/>
              <w:rPr>
                <w:vanish w:val="0"/>
              </w:rPr>
            </w:pPr>
            <w:r>
              <w:rPr>
                <w:b/>
                <w:i/>
              </w:rPr>
              <w:t xml:space="preserve">Nơi nhận:</w:t>
            </w:r>
          </w:p>
          <w:p>
            <w:pPr>
              <w:pStyle w:val="Normal(Web)"/>
              <w:divId w:val="37"/>
              <w:rPr>
                <w:vanish w:val="0"/>
              </w:rPr>
            </w:pPr>
            <w:r>
              <w:t xml:space="preserve">- Thủ tướng và các Phó Thủ tướng Chính phủ;</w:t>
            </w:r>
          </w:p>
          <w:p>
            <w:pPr>
              <w:pStyle w:val="Normal(Web)"/>
              <w:divId w:val="38"/>
              <w:rPr>
                <w:vanish w:val="0"/>
              </w:rPr>
            </w:pPr>
            <w:r>
              <w:t xml:space="preserve">- Văn phòng TW và các Ban của Đảng;</w:t>
            </w:r>
          </w:p>
          <w:p>
            <w:pPr>
              <w:pStyle w:val="Normal(Web)"/>
              <w:divId w:val="39"/>
              <w:rPr>
                <w:vanish w:val="0"/>
              </w:rPr>
            </w:pPr>
            <w:r>
              <w:t xml:space="preserve">- Văn phòng Quốc hội;</w:t>
            </w:r>
          </w:p>
          <w:p>
            <w:pPr>
              <w:pStyle w:val="Normal(Web)"/>
              <w:divId w:val="40"/>
              <w:rPr>
                <w:vanish w:val="0"/>
              </w:rPr>
            </w:pPr>
            <w:r>
              <w:t xml:space="preserve">- Văn phòng Tổng Bí thư;</w:t>
            </w:r>
          </w:p>
          <w:p>
            <w:pPr>
              <w:pStyle w:val="Normal(Web)"/>
              <w:divId w:val="41"/>
              <w:rPr>
                <w:vanish w:val="0"/>
              </w:rPr>
            </w:pPr>
            <w:r>
              <w:t xml:space="preserve">- Văn phòng Chủ tịch nước;</w:t>
            </w:r>
          </w:p>
          <w:p>
            <w:pPr>
              <w:pStyle w:val="Normal(Web)"/>
              <w:divId w:val="42"/>
              <w:rPr>
                <w:vanish w:val="0"/>
              </w:rPr>
            </w:pPr>
            <w:r>
              <w:t xml:space="preserve">- Viện kiểm sát NDTC, Tòa án NDTC;</w:t>
            </w:r>
          </w:p>
          <w:p>
            <w:pPr>
              <w:pStyle w:val="Normal(Web)"/>
              <w:divId w:val="43"/>
              <w:rPr>
                <w:vanish w:val="0"/>
              </w:rPr>
            </w:pPr>
            <w:r>
              <w:t xml:space="preserve">- Kiểm toán Nhà nước;</w:t>
            </w:r>
          </w:p>
          <w:p>
            <w:pPr>
              <w:pStyle w:val="Normal(Web)"/>
              <w:divId w:val="44"/>
              <w:rPr>
                <w:vanish w:val="0"/>
              </w:rPr>
            </w:pPr>
            <w:r>
              <w:t xml:space="preserve">- Các Bộ, cơ quan ngang Bộ, cơ quan thuộc CP; </w:t>
            </w:r>
          </w:p>
          <w:p>
            <w:pPr>
              <w:pStyle w:val="Normal(Web)"/>
              <w:divId w:val="45"/>
              <w:rPr>
                <w:vanish w:val="0"/>
              </w:rPr>
            </w:pPr>
            <w:r>
              <w:t xml:space="preserve">- UBND tỉnh, thành phố trực thuộc TW;</w:t>
            </w:r>
          </w:p>
          <w:p>
            <w:pPr>
              <w:pStyle w:val="Normal(Web)"/>
              <w:divId w:val="46"/>
              <w:rPr>
                <w:vanish w:val="0"/>
              </w:rPr>
            </w:pPr>
            <w:r>
              <w:t xml:space="preserve">- VP BCĐ TƯ về phòng, chống tham nhũng;</w:t>
            </w:r>
          </w:p>
          <w:p>
            <w:pPr>
              <w:pStyle w:val="Normal(Web)"/>
              <w:divId w:val="47"/>
              <w:rPr>
                <w:vanish w:val="0"/>
              </w:rPr>
            </w:pPr>
            <w:r>
              <w:t xml:space="preserve">- Phòng Thương mại và công nghiệp Việt Nam; </w:t>
            </w:r>
          </w:p>
          <w:p>
            <w:pPr>
              <w:pStyle w:val="Normal(Web)"/>
              <w:divId w:val="48"/>
              <w:rPr>
                <w:vanish w:val="0"/>
              </w:rPr>
            </w:pPr>
            <w:r>
              <w:t xml:space="preserve">- Cục Kiểm tra văn bản (Bộ Tư pháp);</w:t>
            </w:r>
          </w:p>
          <w:p>
            <w:pPr>
              <w:pStyle w:val="Normal(Web)"/>
              <w:divId w:val="49"/>
              <w:rPr>
                <w:vanish w:val="0"/>
              </w:rPr>
            </w:pPr>
            <w:r>
              <w:t xml:space="preserve">- Các đơn vị thuộc và trực thuộc Bộ Tài chính;</w:t>
            </w:r>
          </w:p>
          <w:p>
            <w:pPr>
              <w:pStyle w:val="Normal(Web)"/>
              <w:divId w:val="50"/>
              <w:rPr>
                <w:vanish w:val="0"/>
              </w:rPr>
            </w:pPr>
            <w:r>
              <w:t xml:space="preserve">- Cục Hải quan tỉnh, thành phố;</w:t>
            </w:r>
          </w:p>
          <w:p>
            <w:pPr>
              <w:pStyle w:val="Normal(Web)"/>
              <w:divId w:val="51"/>
              <w:rPr>
                <w:vanish w:val="0"/>
              </w:rPr>
            </w:pPr>
            <w:r>
              <w:t xml:space="preserve">- Công báo;</w:t>
            </w:r>
          </w:p>
          <w:p>
            <w:pPr>
              <w:pStyle w:val="Normal(Web)"/>
              <w:divId w:val="52"/>
              <w:rPr>
                <w:vanish w:val="0"/>
              </w:rPr>
            </w:pPr>
            <w:r>
              <w:t xml:space="preserve">- Website Chính phủ và Website Bộ Tài chính;</w:t>
            </w:r>
          </w:p>
          <w:p>
            <w:pPr>
              <w:pStyle w:val="Normal(Web)"/>
              <w:divId w:val="53"/>
              <w:rPr>
                <w:vanish w:val="0"/>
              </w:rPr>
            </w:pPr>
            <w:r>
              <w:t xml:space="preserve">- Lưu: VT, Vụ CST (P</w:t>
            </w:r>
            <w:r>
              <w:rPr>
                <w:vertAlign w:val="subscript"/>
              </w:rPr>
              <w:t xml:space="preserve">XNK</w:t>
            </w:r>
            <w:r>
              <w:t xml:space="preserve">).</w:t>
            </w:r>
          </w:p>
        </w:tc>
        <w:tc>
          <w:tcPr>
            <w:tcW w:w="0" w:type="auto"/>
            <w:shd w:val="clear" w:color="auto" w:fill="auto"/>
            <w:vAlign w:val="center"/>
          </w:tcPr>
          <w:p>
            <w:pPr>
              <w:pStyle w:val="Normal(Web)"/>
              <w:divId w:val="54"/>
              <w:rPr>
                <w:vanish w:val="0"/>
              </w:rPr>
            </w:pPr>
            <w:r>
              <w:rPr>
                <w:b/>
              </w:rPr>
              <w:t xml:space="preserve">KT. BỘ TRƯỞNG</w:t>
            </w:r>
          </w:p>
          <w:p>
            <w:pPr>
              <w:pStyle w:val="Normal(Web)"/>
              <w:divId w:val="55"/>
              <w:rPr>
                <w:vanish w:val="0"/>
              </w:rPr>
            </w:pPr>
            <w:r>
              <w:rPr>
                <w:b/>
              </w:rPr>
              <w:t xml:space="preserve">THỨ TRƯỞNG</w:t>
            </w:r>
          </w:p>
          <w:p>
            <w:pPr>
              <w:pStyle w:val="Normal(Web)"/>
              <w:divId w:val="56"/>
              <w:jc w:val="center"/>
              <w:rPr>
                <w:vanish w:val="0"/>
              </w:rPr>
            </w:pPr>
            <w:r>
              <w:rPr>
                <w:b/>
              </w:rPr>
              <w:t xml:space="preserve">Vũ Thị Mai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4-2013-tt-btc-cua-bo-tai-chinh---ban-hanh-bieu-thue-xuat-khau--bieu-thue-nhap-khau-uu-dai-theo-danh-muc-mat-hang-chiu-thue.aspx" TargetMode="External" /><Relationship Id="rId4" Type="http://schemas.openxmlformats.org/officeDocument/2006/relationships/hyperlink" Target="/nghi-dinh-so-87-2010-nd-cp-quy-dinh-chi-tiet-thi-hanh-luat-thue-xuat-nhap-khau.aspx" TargetMode="External" /><Relationship Id="rId5" Type="http://schemas.openxmlformats.org/officeDocument/2006/relationships/hyperlink" Target="/nghi-dinh-215-2013-nd-cp-chuc-nang-quyen-han-co-cau-to-chuc-bo-tai-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2022-06-22T10:49:14Z</dcterms:created>
  <dcterms:modified xsi:type="dcterms:W3CDTF">2022-06-22T10:49:14Z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2022-06-22T10:49:14Z</dcterms:created>
  <dcterms:modified xsi:type="dcterms:W3CDTF">2022-06-22T10:49:14Z</dcterms:modified>
</cp:coreProperties>
</file>