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w:t>
            </w:r>
          </w:p>
          <w:p>
            <w:pPr>
              <w:pStyle w:val="Normal(Web)"/>
              <w:divId w:val="2"/>
              <w:jc w:val="center"/>
              <w:rPr>
                <w:vanish w:val="0"/>
              </w:rPr>
            </w:pPr>
            <w:r>
              <w:t xml:space="preserve">Số: </w:t>
            </w:r>
            <w:hyperlink r:id="rId3" w:history="1">
              <w:r>
                <w:rPr>
                  <w:rStyle w:val="Hyperlink"/>
                </w:rPr>
                <w:t xml:space="preserve">09/2010/TT-BKHĐT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4 năm 2010</w:t>
            </w:r>
          </w:p>
        </w:tc>
      </w:tr>
    </w:tbl>
    <w:p>
      <w:pPr>
        <w:pStyle w:val="Normal(Web)"/>
        <w:divId w:val="7"/>
        <w:jc w:val="center"/>
        <w:rPr>
          <w:vanish w:val="0"/>
        </w:rPr>
      </w:pPr>
      <w:r>
        <w:rPr>
          <w:b/>
        </w:rPr>
        <w:t xml:space="preserve">THÔNG TƯ</w:t>
      </w:r>
    </w:p>
    <w:p>
      <w:pPr>
        <w:pStyle w:val="Normal(Web)"/>
        <w:divId w:val="8"/>
        <w:jc w:val="center"/>
        <w:rPr>
          <w:vanish w:val="0"/>
        </w:rPr>
      </w:pPr>
      <w:r>
        <w:rPr>
          <w:b/>
        </w:rPr>
        <w:t xml:space="preserve">Quy định chi tiết lập báo cáo đánh giá hồ sơ dự thầu đối với gói thầu mua sắm hàng hóa, xây lắp</w:t>
      </w:r>
    </w:p>
    <w:p>
      <w:pPr>
        <w:pStyle w:val="Normal(Web)"/>
        <w:divId w:val="9"/>
        <w:rPr>
          <w:vanish w:val="0"/>
        </w:rPr>
      </w:pPr>
      <w:r>
        <w:t xml:space="preserve">Căn cứ Luật Đấu thầu số </w:t>
      </w:r>
      <w:hyperlink r:id="rId4" w:history="1">
        <w:r>
          <w:rPr>
            <w:rStyle w:val="Hyperlink"/>
          </w:rPr>
          <w:t xml:space="preserve">61/2005/QH11 </w:t>
        </w:r>
      </w:hyperlink>
      <w:r>
        <w:t xml:space="preserve"> ngày 29 tháng 11 năm 2005;</w:t>
      </w:r>
    </w:p>
    <w:p>
      <w:pPr>
        <w:pStyle w:val="Normal(Web)"/>
        <w:divId w:val="10"/>
        <w:rPr>
          <w:vanish w:val="0"/>
        </w:rPr>
      </w:pPr>
      <w:r>
        <w:t xml:space="preserve">Căn cứ Luật sửa đổi, bổ sung một số điều của các luật liên quan đến đầu tư xây dựng cơ bản số 38/2009/QH12 ngày 19 tháng 6 năm 2009;</w:t>
      </w:r>
    </w:p>
    <w:p>
      <w:pPr>
        <w:pStyle w:val="Normal(Web)"/>
        <w:divId w:val="11"/>
        <w:rPr>
          <w:vanish w:val="0"/>
        </w:rPr>
      </w:pPr>
      <w:r>
        <w:t xml:space="preserve">Căn cứ Nghị định số </w:t>
      </w:r>
      <w:hyperlink r:id="rId5" w:history="1">
        <w:r>
          <w:rPr>
            <w:rStyle w:val="Hyperlink"/>
          </w:rPr>
          <w:t xml:space="preserve">85/2009/NĐ-CP </w:t>
        </w:r>
      </w:hyperlink>
      <w:r>
        <w:t xml:space="preserve"> ngày 15 tháng 10 năm 2009 của Chính phủ về hướng dẫn thi hành Luật Đấu thầu và lựa chọn nhà thầu xây dựng theo Luật Xây dựng;</w:t>
      </w:r>
    </w:p>
    <w:p>
      <w:pPr>
        <w:pStyle w:val="Normal(Web)"/>
        <w:divId w:val="12"/>
        <w:rPr>
          <w:vanish w:val="0"/>
        </w:rPr>
      </w:pPr>
      <w:r>
        <w:t xml:space="preserve">Căn cứ Nghị định số 116/2008/NĐ-CP ngày 14 tháng 11 năm 2008 của Chính phủ quy định chức năng, nhiệm vụ, quyền hạn và cơ cấu tổ chức của Bộ Kế hoạch và Đầu tư,</w:t>
      </w:r>
    </w:p>
    <w:p>
      <w:pPr>
        <w:pStyle w:val="Normal(Web)"/>
        <w:divId w:val="13"/>
        <w:rPr>
          <w:vanish w:val="0"/>
        </w:rPr>
      </w:pPr>
      <w:r>
        <w:t xml:space="preserve">Bộ Kế hoạch và Đầu tư quy định chi tiết lập Báo cáo đánh giá hồ sơ dự thầu đối với gói thầu mua sắm hàng hóa, xây lắp như sau: </w:t>
      </w:r>
    </w:p>
    <w:p>
      <w:pPr>
        <w:pStyle w:val="Normal(Web)"/>
        <w:divId w:val="14"/>
        <w:rPr>
          <w:vanish w:val="0"/>
        </w:rPr>
      </w:pPr>
      <w:r>
        <w:rPr>
          <w:b/>
        </w:rPr>
        <w:t xml:space="preserve">Điều 1. Phạm vi điều chỉnh và đối tượng áp dụng </w:t>
      </w:r>
    </w:p>
    <w:p>
      <w:pPr>
        <w:pStyle w:val="Normal(Web)"/>
        <w:divId w:val="15"/>
        <w:rPr>
          <w:vanish w:val="0"/>
        </w:rPr>
      </w:pPr>
      <w:r>
        <w:t xml:space="preserve">1. Đối tượng áp dụng là tổ chuyên gia đấu thầu hoặc tổ chức, đơn vị trực thuộc thực hiện công tác đánh giá hồ sơ dự thầu bao gồm tư vấn đấu thầu, tổ chức đấu thầu chuyên nghiệp,… (sau đây gọi tắt là tổ chuyên gia đấu thầu) đối với gói thầu mua sắm hàng hóa, xây lắp của các dự án thuộc phạm vi điều chỉnh của Luật Đấu thầu khi thực hiện hình thức đấu thầu rộng rãi, đấu thầu hạn chế trong nước và quốc tế. </w:t>
      </w:r>
    </w:p>
    <w:p>
      <w:pPr>
        <w:pStyle w:val="Normal(Web)"/>
        <w:divId w:val="16"/>
        <w:rPr>
          <w:vanish w:val="0"/>
        </w:rPr>
      </w:pPr>
      <w:r>
        <w:t xml:space="preserve">2. Đối với các gói thầu mua sắm hàng hóa, xây lắp thuộc các dự án sử dụng vốn ODA, nếu được nhà tài trợ chấp thuận thì áp dụng theo Mẫu Báo cáo đánh giá hồ sơ dự thầu đối với gói thầu mua sắm hàng hóa, xây lắp ban hành kèm theo Thông tư này hoặc có thể sửa đổi, bổ sung một số nội dung theo quy định về đấu thầu trong điều ước quốc tế mà Cộng hòa xã hội chủ nghĩa Việt Nam là thành viên hoặc thỏa thuận quốc tế mà cơ quan, tổ chức có thẩm quyền của Cộng hòa xã hội chủ nghĩa Việt Nam đã ký kết. </w:t>
      </w:r>
    </w:p>
    <w:p>
      <w:pPr>
        <w:pStyle w:val="Normal(Web)"/>
        <w:divId w:val="17"/>
        <w:rPr>
          <w:vanish w:val="0"/>
        </w:rPr>
      </w:pPr>
      <w:r>
        <w:rPr>
          <w:b/>
        </w:rPr>
        <w:t xml:space="preserve">Điều 2. Mẫu Báo cáo đánh giá hồ sơ dự thầu đối với gói thầu mua sắm hàng hóa, xây lắp</w:t>
      </w:r>
    </w:p>
    <w:p>
      <w:pPr>
        <w:pStyle w:val="Normal(Web)"/>
        <w:divId w:val="18"/>
        <w:rPr>
          <w:vanish w:val="0"/>
        </w:rPr>
      </w:pPr>
      <w:r>
        <w:t xml:space="preserve">Mẫu Báo cáo đánh giá hồ sơ dự thầu đối với gói thầu mua sắm hàng hóa, xây lắp ban hành kèm theo Thông tư này bao gồm những nội dung cơ bản sau: </w:t>
      </w:r>
    </w:p>
    <w:p>
      <w:pPr>
        <w:pStyle w:val="Normal(Web)"/>
        <w:divId w:val="19"/>
        <w:rPr>
          <w:vanish w:val="0"/>
        </w:rPr>
      </w:pPr>
      <w:r>
        <w:t xml:space="preserve">I. Thông tin cơ bản</w:t>
      </w:r>
    </w:p>
    <w:p>
      <w:pPr>
        <w:pStyle w:val="Normal(Web)"/>
        <w:divId w:val="20"/>
        <w:rPr>
          <w:vanish w:val="0"/>
        </w:rPr>
      </w:pPr>
      <w:r>
        <w:t xml:space="preserve">II. Tóm tắt quá trình đấu thầu </w:t>
      </w:r>
    </w:p>
    <w:p>
      <w:pPr>
        <w:pStyle w:val="Normal(Web)"/>
        <w:divId w:val="21"/>
        <w:rPr>
          <w:vanish w:val="0"/>
        </w:rPr>
      </w:pPr>
      <w:r>
        <w:t xml:space="preserve">III. Kết quả đánh giá hồ sơ dự thầu </w:t>
      </w:r>
    </w:p>
    <w:p>
      <w:pPr>
        <w:pStyle w:val="Normal(Web)"/>
        <w:divId w:val="22"/>
        <w:rPr>
          <w:vanish w:val="0"/>
        </w:rPr>
      </w:pPr>
      <w:r>
        <w:t xml:space="preserve">IV. Kết luận và kiến nghị </w:t>
      </w:r>
    </w:p>
    <w:p>
      <w:pPr>
        <w:pStyle w:val="Normal(Web)"/>
        <w:divId w:val="23"/>
        <w:rPr>
          <w:vanish w:val="0"/>
        </w:rPr>
      </w:pPr>
      <w:r>
        <w:t xml:space="preserve">V. Chữ ký xác nhận của các thành viên tổ chuyên gia đấu thầu.</w:t>
      </w:r>
    </w:p>
    <w:p>
      <w:pPr>
        <w:pStyle w:val="Normal(Web)"/>
        <w:divId w:val="24"/>
        <w:rPr>
          <w:vanish w:val="0"/>
        </w:rPr>
      </w:pPr>
      <w:r>
        <w:t xml:space="preserve">Phụ lục.</w:t>
      </w:r>
    </w:p>
    <w:p>
      <w:pPr>
        <w:pStyle w:val="Normal(Web)"/>
        <w:divId w:val="25"/>
        <w:rPr>
          <w:vanish w:val="0"/>
        </w:rPr>
      </w:pPr>
      <w:r>
        <w:t xml:space="preserve">Khi áp dụng Mẫu này, tổ chức, cá nhân lập báo cáo đánh giá hồ sơ dự thầu căn cứ vào hồ sơ mời thầu, hồ sơ dự thầu, văn bản yêu cầu và giải thích làm rõ hồ sơ mời thầu, văn bản yêu cầu và giải thích làm rõ hồ sơ dự thầu, ý kiến của các thành viên trực tiếp tham gia đánh giá hồ sơ dự thầu và các tài liệu liên quan nhằm đảm bảo tính trung thực, khách quan, minh bạch của kết quả đấu thầu. </w:t>
      </w:r>
    </w:p>
    <w:p>
      <w:pPr>
        <w:pStyle w:val="Normal(Web)"/>
        <w:divId w:val="26"/>
        <w:rPr>
          <w:vanish w:val="0"/>
        </w:rPr>
      </w:pPr>
      <w:r>
        <w:t xml:space="preserve">Căn cứ báo cáo đánh giá hồ sơ dự thầu của tổ chuyên gia đấu thầu, bên mời thầu có nhiệm vụ trình kết quả đấu thầu để chủ đầu tư xem xét, quyết định. Người trình kết quả đấu thầu không đồng thời là người phê duyệt kết quả đấu thầu. </w:t>
      </w:r>
    </w:p>
    <w:p>
      <w:pPr>
        <w:pStyle w:val="Normal(Web)"/>
        <w:divId w:val="27"/>
        <w:rPr>
          <w:vanish w:val="0"/>
        </w:rPr>
      </w:pPr>
      <w:r>
        <w:t xml:space="preserve">Trong Mẫu này, những chữ </w:t>
      </w:r>
      <w:r>
        <w:rPr>
          <w:i/>
        </w:rPr>
        <w:t xml:space="preserve">in nghiêng </w:t>
      </w:r>
      <w:r>
        <w:t xml:space="preserve">là nội dung mang tính gợi ý, hướng dẫn và sẽ được người sử dụng cụ thể hóa căn cứ yêu cầu của hồ sơ mời thầu. Khi lập báo cáo đánh giá hồ sơ dự thầu, nội dung báo cáo đánh giá cần được điền đầy đủ thông tin, trường hợp không có thông tin hoặc thông tin không đầy đủ cũng phải ghi rõ. Trường hợp sửa đổi, bổ sung vào phần in đứng của Mẫu này thì tổ chức, cá nhân lập báo cáo đánh giá hồ sơ dự thầu phải đảm bảo không trái với các quy định của pháp luật về đấu thầu; chủ đầu tư phải chịu trách nhiệm trước pháp luật về nội dung sửa đổi, bổ sung. </w:t>
      </w:r>
    </w:p>
    <w:p>
      <w:pPr>
        <w:pStyle w:val="Normal(Web)"/>
        <w:divId w:val="28"/>
        <w:rPr>
          <w:vanish w:val="0"/>
        </w:rPr>
      </w:pPr>
      <w:r>
        <w:rPr>
          <w:b/>
        </w:rPr>
        <w:t xml:space="preserve">Điều 3. Tổ chức thực hiện </w:t>
      </w:r>
    </w:p>
    <w:p>
      <w:pPr>
        <w:pStyle w:val="Normal(Web)"/>
        <w:divId w:val="29"/>
        <w:rPr>
          <w:vanish w:val="0"/>
        </w:rPr>
      </w:pPr>
      <w:r>
        <w:t xml:space="preserve">1. Thông tư này có hiệu lực thi hành kể từ ngày 15 tháng 6 năm 2010. Thông tư này thay thế Quyết định số 1121/2008/QĐ-BKH ngày 03 tháng 9 năm 2008 của Bộ Kế hoạch và Đầu tư ban hành Mẫu Báo cáo đánh giá hồ sơ dự thầu đối với gói thầu mua sắm hàng hóa, xây lắp.</w:t>
      </w:r>
    </w:p>
    <w:p>
      <w:pPr>
        <w:pStyle w:val="Normal(Web)"/>
        <w:divId w:val="30"/>
        <w:rPr>
          <w:vanish w:val="0"/>
        </w:rPr>
      </w:pPr>
      <w:r>
        <w:t xml:space="preserve">2. Các Bộ, cơ quan ngang Bộ, cơ quan thuộc Chính phủ, cơ quan khác ở Trung ương, Ủy ban nhân dân các cấp và tổ chức, cá nhân có liên quan chịu trách nhiệm thi hành Thông tư này.</w:t>
      </w:r>
    </w:p>
    <w:p>
      <w:pPr>
        <w:pStyle w:val="Normal(Web)"/>
        <w:divId w:val="31"/>
        <w:rPr>
          <w:vanish w:val="0"/>
        </w:rPr>
      </w:pPr>
      <w:r>
        <w:t xml:space="preserve">3.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xem xét, chỉnh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Hồng Phúc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sChild>
    </w:div>
    <w:div w:id="3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10-tt-bkhdt.aspx" TargetMode="External" /><Relationship Id="rId4" Type="http://schemas.openxmlformats.org/officeDocument/2006/relationships/hyperlink" Target="/luat-dau-thau-so-61-2005-qh11.aspx" TargetMode="External" /><Relationship Id="rId5" Type="http://schemas.openxmlformats.org/officeDocument/2006/relationships/hyperlink" Target="/nghi-dinh-85-2009-nd-cp-huong-dan-thi-hanh-luat-dau-thau-va-lua-chon-nha-thau-xay-dung-theo-luat-xay-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2022-06-21T17:23:25Z</dcterms:created>
  <dcterms:modified xsi:type="dcterms:W3CDTF">2022-06-21T17:23:25Z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2022-06-21T17:23:25Z</dcterms:created>
  <dcterms:modified xsi:type="dcterms:W3CDTF">2022-06-21T17:23:25Z</dcterms:modified>
</cp:coreProperties>
</file>