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LUẬT THUẾ TIÊU THỤ</w:t>
      </w:r>
      <w:r>
        <w:rPr>
          <w:b/>
        </w:rPr>
        <w:br/>
      </w:r>
      <w:r>
        <w:rPr>
          <w:b/>
        </w:rPr>
        <w:t xml:space="preserve">ĐẶC BIỆT VÀ LUẬT THUẾ GIÁ TRỊ GIA TĂNG</w:t>
      </w:r>
      <w:r>
        <w:rPr>
          <w:b/>
        </w:rPr>
        <w:br/>
      </w:r>
      <w:r>
        <w:rPr>
          <w:b/>
        </w:rPr>
        <w:t xml:space="preserve">CỦA QUỐC HỘI NƯỚC CỘNG HOÀ XÃ HỘI CHỦ NGHĨA VIỆT NAM</w:t>
      </w:r>
      <w:r>
        <w:rPr>
          <w:b/>
        </w:rPr>
        <w:br/>
      </w:r>
      <w:r>
        <w:rPr>
          <w:b/>
        </w:rPr>
        <w:t xml:space="preserve">SỐ </w:t>
      </w:r>
      <w:hyperlink r:id="rId5" w:history="1">
        <w:r>
          <w:rPr>
            <w:rStyle w:val="Hyperlink"/>
            <w:b/>
          </w:rPr>
          <w:t xml:space="preserve">57/2005/QH11 </w:t>
        </w:r>
      </w:hyperlink>
      <w:r>
        <w:rPr>
          <w:b/>
        </w:rPr>
        <w:t xml:space="preserve">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sửa đổi, bổ sung một số điều của Luật thuế tiêu thụ đặc biệt ngày 20 tháng 5 năm 1998 đã được sửa đổi, bổ sung theo Luật sửa đổi, bổ sung một số điều của Luật thuế tiêu thụ đặc biệt ngày 17 tháng 06 năm 2003 và Luật thuế giá trị gia tăng ngày 10 tháng 5 năm 1997 đã được sửa đổi, bổ sung theo Luật sửa đổi, bổ sung một số điều của Luật thuế giá trị gia tăng ngày 17 tháng 06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6,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rượu, bia, kinh doanh ca-si-nô, trò chơi bằng máy giắc-pót, kinh doanh gôn, giá tính thuế tiêu thụ đặc biệt do Chính phủ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tính thuế TTĐB đối với hàng hóa, dịch vụ quy định tại Điều này bao gồm cả khoản thu thêm mà cơ sở kinh doanh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nộp thuế có doanh số mua, bán bằng ngoại tệ thì phải quy đổi ngoại tệ ra đồng Việt Nam theo tỷ giá hối đoái do Ngân hàng Nhà nước Việt Nam công bố tại thời điểm phát sinh doanh số để xác định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7.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tiêu thụ đặc biệt đối với hàng hoá, dịch vụ được quy định theo Biểu thuế tiêu thụ đặc biệt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THUẾ TIÊU THỤ ĐẶC BIỆT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điếu, xì gà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Xì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lá điếu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2006-2007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Rượu từ 40 độ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Rượu từ 20 độ đến dưới 40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Rượu dưới 20 độ, rượu hoa quả, rượu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Bia chai, bia 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Bia hơi, bia tươi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2006-2007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Ô tô từ 5 chỗ ngồi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Ô tô từ 6 đến 15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Ô tô từ 16 đến dưới 24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các loại, nap-ta (naptha), chế phẩm tái hợp và các chế phẩm khác dùng để pha chế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hoà nhiệt độ công suất từ 90.000 BTU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mã, hàng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vũ trường, mát-xa, ka-ra-ô-kê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ca-si-nô, trò chơi bằng máy giắc-pót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giải trí có đặt cược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gôn: bán thẻ hội viên, vé chơi gôn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xổ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16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16. Những trường hợp được xét giảm thuế, miễn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sản xuất hàng hoá thuộc diện chịu thuế tiêu thụ đặc biệt gặp khó khăn do thiên tai, địch hoạ, tai nạn bất ngờ thì được xét giảm thuế,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qui định cụ thể việc giảm thuế, miễn thuế qui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1,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4. Đối tượng không thuộc diện chịu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dịch vụ dưới đây không thuộc diện chịu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trồng trọt, chăn nuôi, thuỷ sản, hải sản nuôi trồng, đánh bắt chưa chế biến thành các sản phẩm khác hoặc chỉ qua sơ chế thông thường của tổ chức, cá nhân tự sản xuất, đánh bắt bán ra và ở khâu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Điểm k khoản 2 Điều 8 đã được sửa thành điểm ℓ khoản 2 Điều 8 theo Luật sửa đổi, bổ sung một số điều của Luật thuế giá trị gia tăng ngày 17 tháng 6 năm 2003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8.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thuế suất 5 % đối với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ℓ) Bông sơ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8 thông qua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Văn An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a-doi--bo-sung-mot-so-dieu-luat-thue-tieu-thu-dac-biet-va-luat-thue-gia-tri-gia-tang-so-57-2005-qh11.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2022-06-22T14:17:30Z</dcterms:created>
  <dcterms:modified xsi:type="dcterms:W3CDTF">2022-06-22T14:17:30Z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2022-06-22T14:17:30Z</dcterms:created>
  <dcterms:modified xsi:type="dcterms:W3CDTF">2022-06-22T14:17:30Z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2022-06-22T14:17:30Z</dcterms:created>
  <dcterms:modified xsi:type="dcterms:W3CDTF">2022-06-22T14:17:30Z</dcterms:modified>
</cp:coreProperties>
</file>