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NHÂN DÂN TỈNH KIÊN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70/2014/NQ-HĐND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Kiên Giang, ngày 09 tháng 7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QUY ĐỊNH MỨC CHI ĐẢM BẢO CHO CÔNG TÁC PHỔ BIẾN, GIÁO DỤC PHÁP LUẬT VÀ CHUẨN TIẾP CẬN PHÁP LUẬT TRÊN ĐỊA BÀN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NHÂN DÂN TỈNH KIÊN GIANGKHÓA VIII, KỲ HỌP THỨ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Ủy ban nhân dân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 Thông tư liên tịch số </w:t>
      </w:r>
      <w:hyperlink r:id="rId4" w:history="1">
        <w:r>
          <w:rPr>
            <w:rStyle w:val="Hyperlink"/>
            <w:i/>
          </w:rPr>
          <w:t xml:space="preserve">14/2014/TTLT-BTC-BTP </w:t>
        </w:r>
      </w:hyperlink>
      <w:r>
        <w:rPr>
          <w:i/>
        </w:rPr>
        <w:t xml:space="preserve">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Trên cơ sở xem xét Tờ trình số 65/TTr-UBND ngày 23 tháng 6 năm 2014 của Ủy ban nhân dân tỉnh về việc sửa đổi, bổ sung quy định một số khoản chi có tính đặc thù trongcôngtác phổ biến, giáo dục pháp luật và chuẩn tiếp cận pháp luật trên địa bàn tỉnh Kiên Giang; Báo cáo thẩm tra số 142/BC-HĐND ngày 06 tháng 7 năm 2014 của Ban Kinh tế và Ngân sách Hội đồng nhân dân tỉnh; ý kiến của đại biểu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Hội đồng nhân dân tỉnh tán thành Tờ trình số 65/TTr-UBND ngày 23 tháng 6 năm 2014 của Ủy ban nhân dân tỉnh về việc sửa đổi, bổ sung quy định một số khoản chi có tính đặc thù trong công tác phổ biến, giáo dục pháp luật và chuẩn tiếp cận pháp luật trên địa bàn tỉnh Kiên Giang,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chi và mức chi: Thực hiện theo Biểu mức chi có tính chất đặc thù trong công tác phổ biến, giáo dục pháp luật và chuẩn tiếp cận pháp luật trên địa bàn tỉnh Kiên Giang đính kèm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Các nội dung chi, mức chi khác có liên quan chưa được quy định cụ thể tại Nghị quyết này và các nội dung khác có liên quan đến việc lập dự toán, quản lý, sử dụng, quyết toán kinh phí ngân sách nhà nước bảo đảm cho công tác phổ biến, giáo dục pháp luật và chuẩn tiếp cận pháp luật của người dân tại cơ sở được thực hiện theo Thông tư liên tịch số 14/2014/TTLT-BTC-BTP ngày 27 tháng 01 năm 2014 của Bộ Tài chính,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kinh phí thực hiện cho công tác phổ biến, giáo dục pháp luật và chuẩn tiếp cận pháp luật được bố trí trong dự toán hàng năm của từng cấp ngân sách theo phân cấp quản lý ngân sách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Thời gian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có hiệu lực sau 10 ngày kể từ ngày Hội đồng nhân dân tỉnh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tỉnh giao Ủy ban nhân dân tỉnh triển khai, tổ chức thực hiện nghị quyết của Hội đồng nhân dân tỉnh; đồng thời tăng cường công tác thanh tra, kiểm tra việc quản lý, sử dụng và quyết toán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Thường trực Hội đồng nhân dân, các ban của Hội đồng nhân dân và các đại biểu Hội đồng nhân dân tỉnh căn cứ chức năng, nhiệm vụ, quyền hạn giám sát việc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Kiên Giang Khóa VIII, Kỳ họp thứ 12 thông qua và thay thế Nghị quyết số 151/2010/NQ-HĐND ngày 10 tháng 12 năm 2010 của Hội đồng nhân dân tỉnh về việc quy định một số mức chi thực hiện công tác phổ biến, giáo dục pháp luật trên địa bàn tỉnh Kiên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Nguyễn Thanh Sơn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BIỂU MỨC CHI CÓ TÍNH CHẤT ĐẶC THÙ TRONG CÔNG TÁC PHỔ BIẾN, GIÁO DỤC PHÁP LUẬT, CHUẨN TIẾP CẬN PHÁP LUẬT TRÊN ĐỊA BÀN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(Kèm theo Nghị quyết số 70/2014/NQ-HĐND ngày 09 tháng 7 năm 2014 của Hội đồng nhân dân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ĐVT: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chi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tối đa</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ghi</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tỉnh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Cấp huyện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Cấp xã</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Chương trình, Đề án, Kế hoạch; các văn bản quản lý, chỉ đạo, hướng dẫn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dựng đề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đề cương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hoàn chỉnh đề cương tổng quát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Soạn thảo Chương trình, Đề án,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Soạn thảo Chương trình, Đề án,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Đề án,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Soạn thảo báo cáo tiếp thu, tổng hợp ý kiến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chức họp, tọa đàm góp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 trì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viên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 kiến tư vấn của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duyệt Chương trình, Đề án,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tịch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viên Hội đồng, thư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biểu được mời tham dự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phản biện của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nhận xét của ủy viên Hội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ý kiến thẩm định (trường hợp không thành lập Hội đồng xét duyệt Chương trình, Đề án,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viết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văn bản quản lý, chỉ đạo, hướng dẫn Chương trình, Đề án,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thù lao báo cáo viên, tuyên truyền viên, người được mời tham gia công tác phổ biến, giáo dục pháp luật; thù lao cộng tác viên, chuyên gia tham gia các hoạt động đánh giá chuẩn tiếp cận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báo cáo viên cấp tỉnh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 dụng chế độ thù lao giảng viên quy định tại Nghị quyết 10/2013/NQ-HĐND ngày 10 tháng 7 năm 2013 của HĐND tỉnh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cấp huyện, tuyên truyền viên, cộng tác viên thực hiện phổ biến, giáo dục pháp luật, tư vấn và tham gia các đợt phổ biến pháp luật lưu động, hướng dẫn sinh hoạt chuyên đề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Người/buổi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240.000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người được mời tham gia công tác phổ biến, giáo dục pháp luật; thù lao cộng tác viên, chuyên gia tham gia các hoạt động đánh giá chuẩn tiếp cận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Người/buổi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trình độ, áp dụng mức chi quy định tại điểm a, b của mục này</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lao báo cáo viên pháp luật, tuyên truyền viên pháp luật, người được mời tham gia phổ biến, giáo dục pháp luật, cán bộ thực hiện công tác phổ biến, giáo dục pháp luật cho các đối tượng đặc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Người/buổi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Được hưởng thêm 20% so với mức thù lao quy định tại điểm a, b, c mục này</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soạn một số tài liệu phổ biến, giáo dục pháp luật đặc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gấp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gấp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huống giải đáp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huống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chuyện pháp luật (bao gồm biên soạn, biên tập, thẩm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chuyện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phẩm pháp luật (bao gồm biên soạn, biên tập, thẩm định, lấy ý kiến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phẩm đã hoàn thành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thực hiện công tác hòa giải ở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báo cáo viên cấp tỉnh, huyện; tuyên truyền viên pháp luật cấp xã; cộng tác viên tham gia thực hiện phổ biến giáo dục pháp luật hướng dẫn sinh hoạt chuyên đề tổ hòa giải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Cộng tác viên 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tài liệu, văn phòng phẩm, sổ sách phục vụ công tác hòa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Tổ/tháng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hòa giải (căn cứ xác nhận của Ủy ban nhân dân xã về số vụ việc nhận hòa giải của tổ hòa giải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việc/tổ</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và duy trì sinh hoạt Câu lạc bộ pháp luật, nhóm nòng cốt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tiền ăn, nước uống cho thành viên tham gia hội nghị ra mắt Câu lạc bộ pháp luật (không quá 01 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tiền nước uống cho người dự sinh hoạt Câu lạc bộ pháp luật, nhóm nòng cốt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Người/buổi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phiên dịch tiếng dân tộc thiểu số, thuê người dẫn đường (chỉ áp dụng đối với vùng sâu, vùng xa cần người dẫn đường và phiên dịch)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phiên dịch tiếng dân tộc thiểu số kiêm người dẫn đường (đối với trường hợp phải thuê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Người/lương 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đa 250% mức lương cơ sở, tính theo lương ngày do Nhà nước quy định cho khu vực quản lý hành chính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thuê người dẫn đường (không phải phiên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Người/lương 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đa 150% mức lương cơ sở, tính theo lương ngày do Nhà nước quy định cho khu vực quản lý hành chính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tổ chức cuộc thi, hội thi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biên soạn đề thi, đáp án, bồi dưỡng Ban giám khảo, Ban tổ chức và một số nội dung chi khác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 dụng theo Quyết định số 727/QĐ-UBND ngày 25 tháng 3 năm 2013 của Ủy ban nhân dân tỉnh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tổ chức cuộc thi sân khấu, thi trên internet, có thêm mức chi đặc thù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dẫn chương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hội trường và thiết bị phục vụ cuộc thi sân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Thuê văn nghệ, diễn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thập thông tin, tư liệu, lập hệ cơ sở dữ liệu tin học hóa (đối với cuộc thi qua mạng điện tử)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Thực hiện theo Thông tư số </w:t>
            </w:r>
            <w:hyperlink r:id="rId5" w:history="1">
              <w:r>
                <w:rPr>
                  <w:rStyle w:val="Hyperlink"/>
                </w:rPr>
                <w:t xml:space="preserve">194/2012/TT-BTC </w:t>
              </w:r>
            </w:hyperlink>
            <w:r>
              <w:t xml:space="preserve"> ngày 15 tháng 11 năm 2012 của Bộ Tài chính</w:t>
            </w:r>
          </w:p>
        </w:tc>
        <w:tc>
          <w:tcPr>
            <w:tcW w:w="0" w:type="auto"/>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giải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Giải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Giải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Giải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Giải khuyến khích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Giải phụ khác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hỗ trợ hoạt động truyền thông, phổ biến, giáo dục pháp luật, chuẩn tiếp cận pháp luật trên đài phát thanh xã, phường, thị trấn, loa truyền thanh cơ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soạn, biên tập tài liệu phát thanh (tính theo trang chuẩn 350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phát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thanh bằng 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thanh bằng tiếng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phục vụ trực tiếp việc xây dựng, quản lý và khai thác tủ sách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hoạt động xây dựng, quản lý, khai thác tủ sách pháp luật hàng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Tủ/năm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bổ sung, cập nhật sách định kỳ 06 tháng/lần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Bồi dưỡng cán bộ tham gia luân chuyển sách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Lần/người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thực hiện thống kê, rà soát, viết báo cáo đánh giá công tác phổ biến, giáo dục pháp luật, Chương trình, Đề án, Kế hoạch, đánh giá thực hiện chuẩn tiếp cận pháp luật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thập thông tin, xử lý số liệu 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 soát văn bản, tài liệu phục vụ hệ thống hóa, kiến nghị xây dựng thể chế, thực hiện Chương trình, Đề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Viết báo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Báo cáo định kỳ hàng năm, Báo cáo chuyên đề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do Sở Tư pháp chủ trì xây dựng trình Ủy ban nhân dân tỉnh ký ban 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theo dõi tình hình thực hiện do Ủy ban nhân dân cấp huyện; các sở, ban, ngành cấp tỉnh chủ trì xây dựng gửi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theo dõi tình hình thực hiện do Ủy ban nhân dân cấp xã; các phòng, ban, ngành cấp huyện chủ trì xây dựng gửi Phòng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Báo cáo đột xuất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tổng hợp do Sở Tư pháp chủ trì xây dựng trình Ủy ban nhân dân tỉnh ký ban 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theo dõi tình hình thực hiện do Ủy ban nhân dân cấp huyện; các sở, ban, ngành cấp tỉnh chủ trì xây dựng gửi Sở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theo dõi tình hình thực hiện do Ủy ban nhân dân cấp xã; các phòng, ban, ngành cấp huyện chủ trì xây dựng gửi Phòng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khen thưởng xã, phường, thị trấn; huyện, thị xã, thành phố trực thuộc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 phường, thị trấn; huyện, thị xã, thành phố được Ủy ban nhân dân tỉnh công nhận đạt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đương tập thể lao động xuất sắc</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1,5 lần mức lương cơ sở</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xã, phường, thị trấn được Ủy ban nhân dân tỉnh tặng Bằng khen tiêu biểu về tiếp cận pháp luật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Bằng khen</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2 lần mức lương cơ sở</w:t>
            </w:r>
          </w:p>
        </w:tc>
        <w:tc>
          <w:tcPr>
            <w:tcW w:w="0" w:type="auto"/>
            <w:gridSpan w:val="3"/>
            <w:hMerge/>
            <w:shd w:val="clear" w:color="auto" w:fill="auto"/>
            <w:vAlign w:val="center"/>
          </w:tcPr>
          <w:p>
            <w:pPr/>
          </w:p>
        </w:tc>
        <w:tc>
          <w:tcPr>
            <w:tcW w:w="0" w:type="auto"/>
            <w:gridSpan w:val="3"/>
            <w:h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thong-tu-lien-tich-so-14-2014-ttlt-btc-btp-cua-bo-tai-chinh-bo-tu-phap---quy-dinh-viec-lap-du-toan--quan-ly--su-dung-va-quyet-toan-kinh-phi-ngan-sach-nha-nuoc-bao-dam-cho-cong-tac-pho-bien--giao-duc-p.aspx" TargetMode="External" /><Relationship Id="rId5" Type="http://schemas.openxmlformats.org/officeDocument/2006/relationships/hyperlink" Target="/thong-tu-194-2012-tt-btc-huong-dan-muc-chi-tao-lap-thong-tin-dien-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2022-06-21T12:42:57Z</dcterms:created>
  <dcterms:modified xsi:type="dcterms:W3CDTF">2022-06-21T12:42:57Z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2022-06-21T12:42:57Z</dcterms:created>
  <dcterms:modified xsi:type="dcterms:W3CDTF">2022-06-21T12:42:57Z</dcterms:modified>
</cp:coreProperties>
</file>