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427" w:type="pct"/>
        <w:tblInd w:w="-372" w:type="dxa"/>
        <w:tblBorders>
          <w:top w:val="nil"/>
          <w:bottom w:val="nil"/>
          <w:insideH w:val="nil"/>
          <w:insideV w:val="nil"/>
        </w:tblBorders>
        <w:tblCellMar>
          <w:left w:w="0" w:type="dxa"/>
          <w:right w:w="0" w:type="dxa"/>
        </w:tblCellMar>
        <w:tblLook w:val="04A0"/>
      </w:tblPr>
      <w:tblGrid>
        <w:gridCol w:w="4080"/>
        <w:gridCol w:w="6000"/>
      </w:tblGrid>
      <w:tr w:rsidR="000918D6" w:rsidRPr="00892026">
        <w:tc>
          <w:tcPr>
            <w:tcW w:w="2024" w:type="pct"/>
            <w:tcBorders>
              <w:top w:val="nil"/>
              <w:left w:val="nil"/>
              <w:bottom w:val="nil"/>
              <w:right w:val="nil"/>
              <w:tl2br w:val="nil"/>
              <w:tr2bl w:val="nil"/>
            </w:tcBorders>
            <w:shd w:val="clear" w:color="auto" w:fill="auto"/>
            <w:tcMar>
              <w:top w:w="0" w:type="dxa"/>
              <w:left w:w="108" w:type="dxa"/>
              <w:bottom w:w="0" w:type="dxa"/>
              <w:right w:w="108" w:type="dxa"/>
            </w:tcMar>
          </w:tcPr>
          <w:p w:rsidR="000918D6" w:rsidRPr="00892026" w:rsidRDefault="00796451" w:rsidP="00892026">
            <w:pPr>
              <w:jc w:val="center"/>
              <w:rPr>
                <w:sz w:val="26"/>
              </w:rPr>
            </w:pPr>
            <w:r w:rsidRPr="00796451">
              <w:rPr>
                <w:b/>
                <w:bCs/>
                <w:noProof/>
                <w:sz w:val="26"/>
                <w:lang w:val="en-US" w:eastAsia="en-US"/>
              </w:rPr>
              <w:pict>
                <v:line id="_x0000_s1028" style="position:absolute;left:0;text-align:left;z-index:251656704" from="64.45pt,34.9pt" to="124.45pt,34.9pt"/>
              </w:pict>
            </w:r>
            <w:r w:rsidR="000918D6" w:rsidRPr="00892026">
              <w:rPr>
                <w:b/>
                <w:bCs/>
                <w:sz w:val="26"/>
                <w:lang w:val="en-US"/>
              </w:rPr>
              <w:t>HỘI ĐỒNG THẨM PHÁN</w:t>
            </w:r>
            <w:r w:rsidR="000918D6" w:rsidRPr="00892026">
              <w:rPr>
                <w:b/>
                <w:bCs/>
                <w:sz w:val="26"/>
                <w:lang w:val="en-US"/>
              </w:rPr>
              <w:br/>
            </w:r>
            <w:r w:rsidR="000918D6" w:rsidRPr="00892026">
              <w:rPr>
                <w:b/>
                <w:bCs/>
                <w:sz w:val="26"/>
              </w:rPr>
              <w:t>TOÀ ÁN NHÂN DÂN TỐI CAO</w:t>
            </w:r>
            <w:r w:rsidR="000918D6" w:rsidRPr="00892026">
              <w:rPr>
                <w:b/>
                <w:bCs/>
                <w:sz w:val="26"/>
                <w:lang w:val="en-US"/>
              </w:rPr>
              <w:br/>
            </w:r>
          </w:p>
        </w:tc>
        <w:tc>
          <w:tcPr>
            <w:tcW w:w="2976" w:type="pct"/>
            <w:tcBorders>
              <w:top w:val="nil"/>
              <w:left w:val="nil"/>
              <w:bottom w:val="nil"/>
              <w:right w:val="nil"/>
              <w:tl2br w:val="nil"/>
              <w:tr2bl w:val="nil"/>
            </w:tcBorders>
            <w:shd w:val="clear" w:color="auto" w:fill="auto"/>
            <w:tcMar>
              <w:top w:w="0" w:type="dxa"/>
              <w:left w:w="108" w:type="dxa"/>
              <w:bottom w:w="0" w:type="dxa"/>
              <w:right w:w="108" w:type="dxa"/>
            </w:tcMar>
          </w:tcPr>
          <w:p w:rsidR="000918D6" w:rsidRPr="00892026" w:rsidRDefault="00796451" w:rsidP="00892026">
            <w:pPr>
              <w:jc w:val="center"/>
              <w:rPr>
                <w:sz w:val="26"/>
              </w:rPr>
            </w:pPr>
            <w:r w:rsidRPr="00796451">
              <w:rPr>
                <w:b/>
                <w:bCs/>
                <w:noProof/>
                <w:sz w:val="26"/>
                <w:lang w:val="en-US" w:eastAsia="en-US"/>
              </w:rPr>
              <w:pict>
                <v:line id="_x0000_s1031" style="position:absolute;left:0;text-align:left;z-index:251657728;mso-position-horizontal-relative:text;mso-position-vertical-relative:text" from="66.6pt,36pt" to="222.6pt,36pt"/>
              </w:pict>
            </w:r>
            <w:r w:rsidR="000918D6" w:rsidRPr="00892026">
              <w:rPr>
                <w:b/>
                <w:bCs/>
                <w:sz w:val="26"/>
              </w:rPr>
              <w:t>CỘNG HÒA XÃ HỘI CHỦ NGHĨA VIỆT NAM</w:t>
            </w:r>
            <w:r w:rsidR="000918D6" w:rsidRPr="00892026">
              <w:rPr>
                <w:b/>
                <w:bCs/>
                <w:sz w:val="26"/>
              </w:rPr>
              <w:br/>
              <w:t xml:space="preserve">Độc lập - Tự do - Hạnh phúc </w:t>
            </w:r>
            <w:r w:rsidR="000918D6" w:rsidRPr="00892026">
              <w:rPr>
                <w:b/>
                <w:bCs/>
                <w:sz w:val="26"/>
              </w:rPr>
              <w:br/>
            </w:r>
          </w:p>
        </w:tc>
      </w:tr>
      <w:tr w:rsidR="000918D6" w:rsidRPr="00892026">
        <w:tblPrEx>
          <w:tblBorders>
            <w:top w:val="none" w:sz="0" w:space="0" w:color="auto"/>
            <w:bottom w:val="none" w:sz="0" w:space="0" w:color="auto"/>
            <w:insideH w:val="none" w:sz="0" w:space="0" w:color="auto"/>
            <w:insideV w:val="none" w:sz="0" w:space="0" w:color="auto"/>
          </w:tblBorders>
        </w:tblPrEx>
        <w:tc>
          <w:tcPr>
            <w:tcW w:w="2024" w:type="pct"/>
            <w:tcBorders>
              <w:top w:val="nil"/>
              <w:left w:val="nil"/>
              <w:bottom w:val="nil"/>
              <w:right w:val="nil"/>
              <w:tl2br w:val="nil"/>
              <w:tr2bl w:val="nil"/>
            </w:tcBorders>
            <w:shd w:val="clear" w:color="auto" w:fill="auto"/>
            <w:tcMar>
              <w:top w:w="0" w:type="dxa"/>
              <w:left w:w="108" w:type="dxa"/>
              <w:bottom w:w="0" w:type="dxa"/>
              <w:right w:w="108" w:type="dxa"/>
            </w:tcMar>
          </w:tcPr>
          <w:p w:rsidR="000918D6" w:rsidRPr="00892026" w:rsidRDefault="000918D6" w:rsidP="00892026">
            <w:pPr>
              <w:jc w:val="center"/>
              <w:rPr>
                <w:sz w:val="26"/>
              </w:rPr>
            </w:pPr>
            <w:r w:rsidRPr="00892026">
              <w:rPr>
                <w:sz w:val="26"/>
                <w:lang w:val="en-US"/>
              </w:rPr>
              <w:t>Số: 01/2015/NQ-HĐTP</w:t>
            </w:r>
          </w:p>
        </w:tc>
        <w:tc>
          <w:tcPr>
            <w:tcW w:w="2976" w:type="pct"/>
            <w:tcBorders>
              <w:top w:val="nil"/>
              <w:left w:val="nil"/>
              <w:bottom w:val="nil"/>
              <w:right w:val="nil"/>
              <w:tl2br w:val="nil"/>
              <w:tr2bl w:val="nil"/>
            </w:tcBorders>
            <w:shd w:val="clear" w:color="auto" w:fill="auto"/>
            <w:tcMar>
              <w:top w:w="0" w:type="dxa"/>
              <w:left w:w="108" w:type="dxa"/>
              <w:bottom w:w="0" w:type="dxa"/>
              <w:right w:w="108" w:type="dxa"/>
            </w:tcMar>
          </w:tcPr>
          <w:p w:rsidR="000918D6" w:rsidRPr="00892026" w:rsidRDefault="000918D6" w:rsidP="00892026">
            <w:pPr>
              <w:jc w:val="center"/>
              <w:rPr>
                <w:sz w:val="26"/>
              </w:rPr>
            </w:pPr>
            <w:r w:rsidRPr="00892026">
              <w:rPr>
                <w:i/>
                <w:iCs/>
                <w:sz w:val="26"/>
              </w:rPr>
              <w:t>Hà Nội, ngày 15 tháng 01 năm 2015</w:t>
            </w:r>
          </w:p>
        </w:tc>
      </w:tr>
    </w:tbl>
    <w:p w:rsidR="000918D6" w:rsidRPr="00892026" w:rsidRDefault="000918D6" w:rsidP="00892026">
      <w:pPr>
        <w:spacing w:before="120" w:after="120" w:line="320" w:lineRule="exact"/>
        <w:ind w:firstLine="567"/>
        <w:jc w:val="both"/>
        <w:rPr>
          <w:sz w:val="28"/>
        </w:rPr>
      </w:pPr>
      <w:r w:rsidRPr="00892026">
        <w:rPr>
          <w:b/>
          <w:bCs/>
          <w:color w:val="000000"/>
          <w:sz w:val="28"/>
        </w:rPr>
        <w:t> </w:t>
      </w:r>
    </w:p>
    <w:p w:rsidR="000918D6" w:rsidRPr="00892026" w:rsidRDefault="000918D6" w:rsidP="00892026">
      <w:pPr>
        <w:jc w:val="center"/>
        <w:rPr>
          <w:b/>
          <w:sz w:val="28"/>
        </w:rPr>
      </w:pPr>
      <w:r w:rsidRPr="00892026">
        <w:rPr>
          <w:b/>
          <w:bCs/>
          <w:color w:val="000000"/>
          <w:sz w:val="28"/>
        </w:rPr>
        <w:t>NGHỊ QUYẾT</w:t>
      </w:r>
    </w:p>
    <w:p w:rsidR="00892026" w:rsidRDefault="00892026" w:rsidP="00892026">
      <w:pPr>
        <w:jc w:val="center"/>
        <w:rPr>
          <w:b/>
          <w:color w:val="000000"/>
          <w:sz w:val="28"/>
        </w:rPr>
      </w:pPr>
      <w:r>
        <w:rPr>
          <w:b/>
          <w:color w:val="000000"/>
          <w:sz w:val="28"/>
        </w:rPr>
        <w:t>Sửa</w:t>
      </w:r>
      <w:r w:rsidR="000918D6" w:rsidRPr="00892026">
        <w:rPr>
          <w:b/>
          <w:color w:val="000000"/>
          <w:sz w:val="28"/>
        </w:rPr>
        <w:t xml:space="preserve"> </w:t>
      </w:r>
      <w:r>
        <w:rPr>
          <w:b/>
          <w:color w:val="000000"/>
          <w:sz w:val="28"/>
        </w:rPr>
        <w:t>đổi</w:t>
      </w:r>
      <w:r w:rsidR="000918D6" w:rsidRPr="00892026">
        <w:rPr>
          <w:b/>
          <w:color w:val="000000"/>
          <w:sz w:val="28"/>
        </w:rPr>
        <w:t xml:space="preserve">, </w:t>
      </w:r>
      <w:r>
        <w:rPr>
          <w:b/>
          <w:color w:val="000000"/>
          <w:sz w:val="28"/>
        </w:rPr>
        <w:t>bổ</w:t>
      </w:r>
      <w:r w:rsidR="000918D6" w:rsidRPr="00892026">
        <w:rPr>
          <w:b/>
          <w:color w:val="000000"/>
          <w:sz w:val="28"/>
        </w:rPr>
        <w:t xml:space="preserve"> </w:t>
      </w:r>
      <w:r>
        <w:rPr>
          <w:b/>
          <w:color w:val="000000"/>
          <w:sz w:val="28"/>
        </w:rPr>
        <w:t>sung</w:t>
      </w:r>
      <w:r w:rsidR="000918D6" w:rsidRPr="00892026">
        <w:rPr>
          <w:b/>
          <w:color w:val="000000"/>
          <w:sz w:val="28"/>
        </w:rPr>
        <w:t xml:space="preserve"> </w:t>
      </w:r>
      <w:r>
        <w:rPr>
          <w:b/>
          <w:color w:val="000000"/>
          <w:sz w:val="28"/>
        </w:rPr>
        <w:t>một</w:t>
      </w:r>
      <w:r w:rsidR="000918D6" w:rsidRPr="00892026">
        <w:rPr>
          <w:b/>
          <w:color w:val="000000"/>
          <w:sz w:val="28"/>
        </w:rPr>
        <w:t xml:space="preserve"> </w:t>
      </w:r>
      <w:r>
        <w:rPr>
          <w:b/>
          <w:color w:val="000000"/>
          <w:sz w:val="28"/>
        </w:rPr>
        <w:t>số</w:t>
      </w:r>
      <w:r w:rsidR="000918D6" w:rsidRPr="00892026">
        <w:rPr>
          <w:b/>
          <w:color w:val="000000"/>
          <w:sz w:val="28"/>
        </w:rPr>
        <w:t xml:space="preserve"> </w:t>
      </w:r>
      <w:r>
        <w:rPr>
          <w:b/>
          <w:color w:val="000000"/>
          <w:sz w:val="28"/>
        </w:rPr>
        <w:t>điều</w:t>
      </w:r>
      <w:r w:rsidR="000918D6" w:rsidRPr="00892026">
        <w:rPr>
          <w:b/>
          <w:color w:val="000000"/>
          <w:sz w:val="28"/>
        </w:rPr>
        <w:t xml:space="preserve"> </w:t>
      </w:r>
      <w:r>
        <w:rPr>
          <w:b/>
          <w:color w:val="000000"/>
          <w:sz w:val="28"/>
        </w:rPr>
        <w:t>của</w:t>
      </w:r>
      <w:r w:rsidR="000918D6" w:rsidRPr="00892026">
        <w:rPr>
          <w:b/>
          <w:color w:val="000000"/>
          <w:sz w:val="28"/>
        </w:rPr>
        <w:t xml:space="preserve"> </w:t>
      </w:r>
      <w:r>
        <w:rPr>
          <w:b/>
          <w:color w:val="000000"/>
          <w:sz w:val="28"/>
        </w:rPr>
        <w:t>Nghị</w:t>
      </w:r>
      <w:r w:rsidR="000918D6" w:rsidRPr="00892026">
        <w:rPr>
          <w:b/>
          <w:color w:val="000000"/>
          <w:sz w:val="28"/>
        </w:rPr>
        <w:t xml:space="preserve"> </w:t>
      </w:r>
      <w:r>
        <w:rPr>
          <w:b/>
          <w:color w:val="000000"/>
          <w:sz w:val="28"/>
        </w:rPr>
        <w:t>quyết</w:t>
      </w:r>
      <w:r w:rsidR="000918D6" w:rsidRPr="00892026">
        <w:rPr>
          <w:b/>
          <w:color w:val="000000"/>
          <w:sz w:val="28"/>
        </w:rPr>
        <w:t xml:space="preserve"> </w:t>
      </w:r>
      <w:r>
        <w:rPr>
          <w:b/>
          <w:color w:val="000000"/>
          <w:sz w:val="28"/>
        </w:rPr>
        <w:t>số</w:t>
      </w:r>
      <w:r w:rsidR="000918D6" w:rsidRPr="00892026">
        <w:rPr>
          <w:b/>
          <w:color w:val="000000"/>
          <w:sz w:val="28"/>
        </w:rPr>
        <w:t xml:space="preserve"> 02/2011/</w:t>
      </w:r>
      <w:r>
        <w:rPr>
          <w:b/>
          <w:color w:val="000000"/>
          <w:sz w:val="28"/>
        </w:rPr>
        <w:t>NQ</w:t>
      </w:r>
      <w:r w:rsidR="000918D6" w:rsidRPr="00892026">
        <w:rPr>
          <w:b/>
          <w:color w:val="000000"/>
          <w:sz w:val="28"/>
        </w:rPr>
        <w:t>-</w:t>
      </w:r>
      <w:r>
        <w:rPr>
          <w:b/>
          <w:color w:val="000000"/>
          <w:sz w:val="28"/>
        </w:rPr>
        <w:t>HĐTP</w:t>
      </w:r>
      <w:r w:rsidR="000918D6" w:rsidRPr="00892026">
        <w:rPr>
          <w:b/>
          <w:color w:val="000000"/>
          <w:sz w:val="28"/>
        </w:rPr>
        <w:t xml:space="preserve"> </w:t>
      </w:r>
    </w:p>
    <w:p w:rsidR="00892026" w:rsidRDefault="00892026" w:rsidP="00892026">
      <w:pPr>
        <w:jc w:val="center"/>
        <w:rPr>
          <w:b/>
          <w:color w:val="000000"/>
          <w:sz w:val="28"/>
        </w:rPr>
      </w:pPr>
      <w:r>
        <w:rPr>
          <w:b/>
          <w:color w:val="000000"/>
          <w:sz w:val="28"/>
        </w:rPr>
        <w:t>ngày</w:t>
      </w:r>
      <w:r w:rsidR="000918D6" w:rsidRPr="00892026">
        <w:rPr>
          <w:b/>
          <w:color w:val="000000"/>
          <w:sz w:val="28"/>
        </w:rPr>
        <w:t xml:space="preserve"> 29 </w:t>
      </w:r>
      <w:r>
        <w:rPr>
          <w:b/>
          <w:color w:val="000000"/>
          <w:sz w:val="28"/>
        </w:rPr>
        <w:t>tháng</w:t>
      </w:r>
      <w:r w:rsidR="000918D6" w:rsidRPr="00892026">
        <w:rPr>
          <w:b/>
          <w:color w:val="000000"/>
          <w:sz w:val="28"/>
        </w:rPr>
        <w:t xml:space="preserve"> 7 </w:t>
      </w:r>
      <w:r>
        <w:rPr>
          <w:b/>
          <w:color w:val="000000"/>
          <w:sz w:val="28"/>
        </w:rPr>
        <w:t>năm</w:t>
      </w:r>
      <w:r w:rsidR="000918D6" w:rsidRPr="00892026">
        <w:rPr>
          <w:b/>
          <w:color w:val="000000"/>
          <w:sz w:val="28"/>
        </w:rPr>
        <w:t xml:space="preserve"> 2011 </w:t>
      </w:r>
      <w:r>
        <w:rPr>
          <w:b/>
          <w:color w:val="000000"/>
          <w:sz w:val="28"/>
        </w:rPr>
        <w:t>của</w:t>
      </w:r>
      <w:r w:rsidR="000918D6" w:rsidRPr="00892026">
        <w:rPr>
          <w:b/>
          <w:color w:val="000000"/>
          <w:sz w:val="28"/>
        </w:rPr>
        <w:t xml:space="preserve"> </w:t>
      </w:r>
      <w:r>
        <w:rPr>
          <w:b/>
          <w:color w:val="000000"/>
          <w:sz w:val="28"/>
        </w:rPr>
        <w:t>Hội</w:t>
      </w:r>
      <w:r w:rsidR="000918D6" w:rsidRPr="00892026">
        <w:rPr>
          <w:b/>
          <w:color w:val="000000"/>
          <w:sz w:val="28"/>
        </w:rPr>
        <w:t xml:space="preserve"> </w:t>
      </w:r>
      <w:r>
        <w:rPr>
          <w:b/>
          <w:color w:val="000000"/>
          <w:sz w:val="28"/>
        </w:rPr>
        <w:t>đồng</w:t>
      </w:r>
      <w:r w:rsidR="000918D6" w:rsidRPr="00892026">
        <w:rPr>
          <w:b/>
          <w:color w:val="000000"/>
          <w:sz w:val="28"/>
        </w:rPr>
        <w:t xml:space="preserve"> </w:t>
      </w:r>
      <w:r>
        <w:rPr>
          <w:b/>
          <w:color w:val="000000"/>
          <w:sz w:val="28"/>
        </w:rPr>
        <w:t>Thẩm</w:t>
      </w:r>
      <w:r w:rsidR="000918D6" w:rsidRPr="00892026">
        <w:rPr>
          <w:b/>
          <w:color w:val="000000"/>
          <w:sz w:val="28"/>
        </w:rPr>
        <w:t xml:space="preserve"> </w:t>
      </w:r>
      <w:r>
        <w:rPr>
          <w:b/>
          <w:color w:val="000000"/>
          <w:sz w:val="28"/>
        </w:rPr>
        <w:t>phán</w:t>
      </w:r>
      <w:r w:rsidR="000918D6" w:rsidRPr="00892026">
        <w:rPr>
          <w:b/>
          <w:color w:val="000000"/>
          <w:sz w:val="28"/>
        </w:rPr>
        <w:t xml:space="preserve"> </w:t>
      </w:r>
      <w:r>
        <w:rPr>
          <w:b/>
          <w:color w:val="000000"/>
          <w:sz w:val="28"/>
        </w:rPr>
        <w:t>Toà</w:t>
      </w:r>
      <w:r w:rsidR="000918D6" w:rsidRPr="00892026">
        <w:rPr>
          <w:b/>
          <w:color w:val="000000"/>
          <w:sz w:val="28"/>
        </w:rPr>
        <w:t xml:space="preserve"> </w:t>
      </w:r>
      <w:r>
        <w:rPr>
          <w:b/>
          <w:color w:val="000000"/>
          <w:sz w:val="28"/>
        </w:rPr>
        <w:t>án</w:t>
      </w:r>
      <w:r w:rsidR="000918D6" w:rsidRPr="00892026">
        <w:rPr>
          <w:b/>
          <w:color w:val="000000"/>
          <w:sz w:val="28"/>
        </w:rPr>
        <w:t xml:space="preserve"> </w:t>
      </w:r>
      <w:r>
        <w:rPr>
          <w:b/>
          <w:color w:val="000000"/>
          <w:sz w:val="28"/>
        </w:rPr>
        <w:t>nhân</w:t>
      </w:r>
      <w:r w:rsidR="000918D6" w:rsidRPr="00892026">
        <w:rPr>
          <w:b/>
          <w:color w:val="000000"/>
          <w:sz w:val="28"/>
        </w:rPr>
        <w:t xml:space="preserve"> </w:t>
      </w:r>
      <w:r>
        <w:rPr>
          <w:b/>
          <w:color w:val="000000"/>
          <w:sz w:val="28"/>
        </w:rPr>
        <w:t>dân</w:t>
      </w:r>
      <w:r w:rsidR="000918D6" w:rsidRPr="00892026">
        <w:rPr>
          <w:b/>
          <w:color w:val="000000"/>
          <w:sz w:val="28"/>
        </w:rPr>
        <w:t xml:space="preserve"> </w:t>
      </w:r>
    </w:p>
    <w:p w:rsidR="000918D6" w:rsidRDefault="00892026" w:rsidP="00892026">
      <w:pPr>
        <w:jc w:val="center"/>
        <w:rPr>
          <w:b/>
          <w:color w:val="000000"/>
          <w:sz w:val="28"/>
        </w:rPr>
      </w:pPr>
      <w:r>
        <w:rPr>
          <w:b/>
          <w:color w:val="000000"/>
          <w:sz w:val="28"/>
        </w:rPr>
        <w:t>tối</w:t>
      </w:r>
      <w:r w:rsidR="000918D6" w:rsidRPr="00892026">
        <w:rPr>
          <w:b/>
          <w:color w:val="000000"/>
          <w:sz w:val="28"/>
        </w:rPr>
        <w:t xml:space="preserve"> </w:t>
      </w:r>
      <w:r>
        <w:rPr>
          <w:b/>
          <w:color w:val="000000"/>
          <w:sz w:val="28"/>
        </w:rPr>
        <w:t>cao</w:t>
      </w:r>
      <w:r w:rsidR="000918D6" w:rsidRPr="00892026">
        <w:rPr>
          <w:b/>
          <w:color w:val="000000"/>
          <w:sz w:val="28"/>
        </w:rPr>
        <w:t xml:space="preserve"> </w:t>
      </w:r>
      <w:r>
        <w:rPr>
          <w:b/>
          <w:color w:val="000000"/>
          <w:sz w:val="28"/>
        </w:rPr>
        <w:t>hướng</w:t>
      </w:r>
      <w:r w:rsidR="000918D6" w:rsidRPr="00892026">
        <w:rPr>
          <w:b/>
          <w:color w:val="000000"/>
          <w:sz w:val="28"/>
        </w:rPr>
        <w:t xml:space="preserve"> </w:t>
      </w:r>
      <w:r>
        <w:rPr>
          <w:b/>
          <w:color w:val="000000"/>
          <w:sz w:val="28"/>
        </w:rPr>
        <w:t>dẫn</w:t>
      </w:r>
      <w:r w:rsidR="000918D6" w:rsidRPr="00892026">
        <w:rPr>
          <w:b/>
          <w:color w:val="000000"/>
          <w:sz w:val="28"/>
        </w:rPr>
        <w:t xml:space="preserve"> </w:t>
      </w:r>
      <w:r>
        <w:rPr>
          <w:b/>
          <w:color w:val="000000"/>
          <w:sz w:val="28"/>
        </w:rPr>
        <w:t>thi</w:t>
      </w:r>
      <w:r w:rsidR="000918D6" w:rsidRPr="00892026">
        <w:rPr>
          <w:b/>
          <w:color w:val="000000"/>
          <w:sz w:val="28"/>
        </w:rPr>
        <w:t xml:space="preserve"> </w:t>
      </w:r>
      <w:r>
        <w:rPr>
          <w:b/>
          <w:color w:val="000000"/>
          <w:sz w:val="28"/>
        </w:rPr>
        <w:t>hành</w:t>
      </w:r>
      <w:r w:rsidR="000918D6" w:rsidRPr="00892026">
        <w:rPr>
          <w:b/>
          <w:color w:val="000000"/>
          <w:sz w:val="28"/>
        </w:rPr>
        <w:t xml:space="preserve"> </w:t>
      </w:r>
      <w:r>
        <w:rPr>
          <w:b/>
          <w:color w:val="000000"/>
          <w:sz w:val="28"/>
        </w:rPr>
        <w:t>một</w:t>
      </w:r>
      <w:r w:rsidR="000918D6" w:rsidRPr="00892026">
        <w:rPr>
          <w:b/>
          <w:color w:val="000000"/>
          <w:sz w:val="28"/>
        </w:rPr>
        <w:t xml:space="preserve"> </w:t>
      </w:r>
      <w:r>
        <w:rPr>
          <w:b/>
          <w:color w:val="000000"/>
          <w:sz w:val="28"/>
        </w:rPr>
        <w:t>số</w:t>
      </w:r>
      <w:r w:rsidR="000918D6" w:rsidRPr="00892026">
        <w:rPr>
          <w:b/>
          <w:color w:val="000000"/>
          <w:sz w:val="28"/>
        </w:rPr>
        <w:t xml:space="preserve"> </w:t>
      </w:r>
      <w:r>
        <w:rPr>
          <w:b/>
          <w:color w:val="000000"/>
          <w:sz w:val="28"/>
        </w:rPr>
        <w:t>quy</w:t>
      </w:r>
      <w:r w:rsidR="000918D6" w:rsidRPr="00892026">
        <w:rPr>
          <w:b/>
          <w:color w:val="000000"/>
          <w:sz w:val="28"/>
        </w:rPr>
        <w:t xml:space="preserve"> </w:t>
      </w:r>
      <w:r>
        <w:rPr>
          <w:b/>
          <w:color w:val="000000"/>
          <w:sz w:val="28"/>
        </w:rPr>
        <w:t>định</w:t>
      </w:r>
      <w:r w:rsidR="000918D6" w:rsidRPr="00892026">
        <w:rPr>
          <w:b/>
          <w:color w:val="000000"/>
          <w:sz w:val="28"/>
        </w:rPr>
        <w:t xml:space="preserve"> </w:t>
      </w:r>
      <w:r>
        <w:rPr>
          <w:b/>
          <w:color w:val="000000"/>
          <w:sz w:val="28"/>
        </w:rPr>
        <w:t>của</w:t>
      </w:r>
      <w:r w:rsidR="000918D6" w:rsidRPr="00892026">
        <w:rPr>
          <w:b/>
          <w:color w:val="000000"/>
          <w:sz w:val="28"/>
        </w:rPr>
        <w:t xml:space="preserve"> </w:t>
      </w:r>
      <w:r>
        <w:rPr>
          <w:b/>
          <w:color w:val="000000"/>
          <w:sz w:val="28"/>
        </w:rPr>
        <w:t>Luật</w:t>
      </w:r>
      <w:r w:rsidR="000918D6" w:rsidRPr="00892026">
        <w:rPr>
          <w:b/>
          <w:color w:val="000000"/>
          <w:sz w:val="28"/>
        </w:rPr>
        <w:t xml:space="preserve"> </w:t>
      </w:r>
      <w:r>
        <w:rPr>
          <w:b/>
          <w:color w:val="000000"/>
          <w:sz w:val="28"/>
        </w:rPr>
        <w:t>tố</w:t>
      </w:r>
      <w:r w:rsidR="000918D6" w:rsidRPr="00892026">
        <w:rPr>
          <w:b/>
          <w:color w:val="000000"/>
          <w:sz w:val="28"/>
        </w:rPr>
        <w:t xml:space="preserve"> </w:t>
      </w:r>
      <w:r>
        <w:rPr>
          <w:b/>
          <w:color w:val="000000"/>
          <w:sz w:val="28"/>
        </w:rPr>
        <w:t>tụng</w:t>
      </w:r>
      <w:r w:rsidR="000918D6" w:rsidRPr="00892026">
        <w:rPr>
          <w:b/>
          <w:color w:val="000000"/>
          <w:sz w:val="28"/>
        </w:rPr>
        <w:t xml:space="preserve"> </w:t>
      </w:r>
      <w:r>
        <w:rPr>
          <w:b/>
          <w:color w:val="000000"/>
          <w:sz w:val="28"/>
        </w:rPr>
        <w:t>hành</w:t>
      </w:r>
      <w:r w:rsidR="000918D6" w:rsidRPr="00892026">
        <w:rPr>
          <w:b/>
          <w:color w:val="000000"/>
          <w:sz w:val="28"/>
        </w:rPr>
        <w:t xml:space="preserve"> </w:t>
      </w:r>
      <w:r>
        <w:rPr>
          <w:b/>
          <w:color w:val="000000"/>
          <w:sz w:val="28"/>
        </w:rPr>
        <w:t>chính</w:t>
      </w:r>
    </w:p>
    <w:p w:rsidR="002E3FB0" w:rsidRPr="00892026" w:rsidRDefault="00796451" w:rsidP="00892026">
      <w:pPr>
        <w:jc w:val="center"/>
        <w:rPr>
          <w:b/>
          <w:sz w:val="28"/>
        </w:rPr>
      </w:pPr>
      <w:r w:rsidRPr="00796451">
        <w:rPr>
          <w:b/>
          <w:noProof/>
          <w:sz w:val="28"/>
          <w:lang w:val="en-US" w:eastAsia="en-US"/>
        </w:rPr>
        <w:pict>
          <v:line id="_x0000_s1034" style="position:absolute;left:0;text-align:left;z-index:251658752" from="157.6pt,5.95pt" to="295.6pt,5.95pt"/>
        </w:pict>
      </w:r>
    </w:p>
    <w:p w:rsidR="000918D6" w:rsidRPr="00892026" w:rsidRDefault="000918D6" w:rsidP="00892026">
      <w:pPr>
        <w:jc w:val="center"/>
        <w:rPr>
          <w:b/>
          <w:sz w:val="28"/>
        </w:rPr>
      </w:pPr>
      <w:r w:rsidRPr="00892026">
        <w:rPr>
          <w:b/>
          <w:bCs/>
          <w:sz w:val="28"/>
        </w:rPr>
        <w:t>HỘI ĐỒNG THẨM PHÁN TOÀ ÁN NHÂN DÂN TỐI CAO</w:t>
      </w:r>
    </w:p>
    <w:p w:rsidR="000918D6" w:rsidRPr="00892026" w:rsidRDefault="000918D6" w:rsidP="00892026">
      <w:pPr>
        <w:spacing w:before="120" w:after="120" w:line="320" w:lineRule="exact"/>
        <w:ind w:firstLine="567"/>
        <w:jc w:val="both"/>
        <w:rPr>
          <w:sz w:val="28"/>
        </w:rPr>
      </w:pPr>
      <w:r w:rsidRPr="00892026">
        <w:rPr>
          <w:i/>
          <w:iCs/>
          <w:sz w:val="28"/>
        </w:rPr>
        <w:t>Căn cứ Luật tổ chức Toà án nhân dân;</w:t>
      </w:r>
    </w:p>
    <w:p w:rsidR="000918D6" w:rsidRPr="00892026" w:rsidRDefault="000918D6" w:rsidP="00892026">
      <w:pPr>
        <w:spacing w:before="120" w:after="120" w:line="320" w:lineRule="exact"/>
        <w:ind w:firstLine="567"/>
        <w:jc w:val="both"/>
        <w:rPr>
          <w:sz w:val="28"/>
        </w:rPr>
      </w:pPr>
      <w:r w:rsidRPr="00892026">
        <w:rPr>
          <w:i/>
          <w:iCs/>
          <w:spacing w:val="-6"/>
          <w:sz w:val="28"/>
        </w:rPr>
        <w:t xml:space="preserve">Để thi hành đúng và thống nhất các quy định của Luật tố tụng hành </w:t>
      </w:r>
      <w:r w:rsidRPr="00892026">
        <w:rPr>
          <w:i/>
          <w:iCs/>
          <w:sz w:val="28"/>
        </w:rPr>
        <w:t>chính;</w:t>
      </w:r>
    </w:p>
    <w:p w:rsidR="000918D6" w:rsidRPr="00892026" w:rsidRDefault="000918D6" w:rsidP="00892026">
      <w:pPr>
        <w:spacing w:before="120" w:after="120" w:line="320" w:lineRule="exact"/>
        <w:ind w:firstLine="567"/>
        <w:jc w:val="both"/>
        <w:rPr>
          <w:sz w:val="28"/>
        </w:rPr>
      </w:pPr>
      <w:r w:rsidRPr="00892026">
        <w:rPr>
          <w:i/>
          <w:iCs/>
          <w:sz w:val="28"/>
        </w:rPr>
        <w:t>Sau khi có ý kiến thống nhất của Viện trưởng Viện kiểm sát nhân dân tối cao và Bộ trưởng Bộ Tư pháp,</w:t>
      </w:r>
    </w:p>
    <w:p w:rsidR="000918D6" w:rsidRPr="002E3FB0" w:rsidRDefault="000918D6" w:rsidP="002E3FB0">
      <w:pPr>
        <w:jc w:val="center"/>
        <w:rPr>
          <w:b/>
          <w:sz w:val="28"/>
        </w:rPr>
      </w:pPr>
      <w:r w:rsidRPr="002E3FB0">
        <w:rPr>
          <w:b/>
          <w:bCs/>
          <w:sz w:val="28"/>
        </w:rPr>
        <w:t>QUYẾT NGHỊ:</w:t>
      </w:r>
    </w:p>
    <w:p w:rsidR="000918D6" w:rsidRPr="00892026" w:rsidRDefault="000918D6" w:rsidP="00892026">
      <w:pPr>
        <w:spacing w:before="120" w:after="120" w:line="320" w:lineRule="exact"/>
        <w:ind w:firstLine="567"/>
        <w:jc w:val="both"/>
        <w:rPr>
          <w:sz w:val="28"/>
        </w:rPr>
      </w:pPr>
      <w:r w:rsidRPr="00892026">
        <w:rPr>
          <w:b/>
          <w:bCs/>
          <w:sz w:val="28"/>
          <w:lang w:val="nl-NL"/>
        </w:rPr>
        <w:t>Điều 1. Sửa đổi, bổ sung một số điều của Nghị quyết số 02/2011/NQ-HĐTP ngày 29 tháng 7 năm 2011 của Hội đồng Thẩm phán Toà án nhân dân tối cao hướng dẫn thi hành một số quy định của Luật tố tụng hành chính</w:t>
      </w:r>
    </w:p>
    <w:p w:rsidR="000918D6" w:rsidRPr="00892026" w:rsidRDefault="000918D6" w:rsidP="00892026">
      <w:pPr>
        <w:spacing w:before="120" w:after="120" w:line="320" w:lineRule="exact"/>
        <w:ind w:firstLine="567"/>
        <w:jc w:val="both"/>
        <w:rPr>
          <w:sz w:val="28"/>
        </w:rPr>
      </w:pPr>
      <w:r w:rsidRPr="00892026">
        <w:rPr>
          <w:sz w:val="28"/>
          <w:lang w:val="nl-NL"/>
        </w:rPr>
        <w:t>1. Điểm b khoản 1 Điều 1 được sửa đổi, bổ sung như sau:</w:t>
      </w:r>
    </w:p>
    <w:p w:rsidR="000918D6" w:rsidRPr="00892026" w:rsidRDefault="000918D6" w:rsidP="00892026">
      <w:pPr>
        <w:spacing w:before="120" w:after="120" w:line="320" w:lineRule="exact"/>
        <w:ind w:firstLine="567"/>
        <w:jc w:val="both"/>
        <w:rPr>
          <w:sz w:val="28"/>
        </w:rPr>
      </w:pPr>
      <w:r w:rsidRPr="00892026">
        <w:rPr>
          <w:i/>
          <w:iCs/>
          <w:sz w:val="28"/>
          <w:lang w:val="nl-NL"/>
        </w:rPr>
        <w:t>“b) Quyết định hành chính được ban hành sau khi có khiếu nại có nội dung giữ nguyên, sửa đổi, bổ sung, thay thế, huỷ bỏ một phần hoặc toàn bộ quyết định hành chính được hướng dẫn tại điểm a khoản 1 Điều này”.</w:t>
      </w:r>
    </w:p>
    <w:p w:rsidR="000918D6" w:rsidRPr="00892026" w:rsidRDefault="000918D6" w:rsidP="00892026">
      <w:pPr>
        <w:spacing w:before="120" w:after="120" w:line="320" w:lineRule="exact"/>
        <w:ind w:firstLine="567"/>
        <w:jc w:val="both"/>
        <w:rPr>
          <w:sz w:val="28"/>
        </w:rPr>
      </w:pPr>
      <w:r w:rsidRPr="00892026">
        <w:rPr>
          <w:sz w:val="28"/>
          <w:lang w:val="nl-NL"/>
        </w:rPr>
        <w:t>2.</w:t>
      </w:r>
      <w:r w:rsidRPr="00892026">
        <w:rPr>
          <w:b/>
          <w:bCs/>
          <w:sz w:val="28"/>
          <w:lang w:val="nl-NL"/>
        </w:rPr>
        <w:t xml:space="preserve"> </w:t>
      </w:r>
      <w:r w:rsidRPr="00892026">
        <w:rPr>
          <w:sz w:val="28"/>
          <w:lang w:val="nl-NL"/>
        </w:rPr>
        <w:t>Điểm b khoản 1 Điều 13 được sửa đổi, bổ sung như sau:</w:t>
      </w:r>
    </w:p>
    <w:p w:rsidR="000918D6" w:rsidRPr="00892026" w:rsidRDefault="000918D6" w:rsidP="00892026">
      <w:pPr>
        <w:spacing w:before="120" w:after="120" w:line="320" w:lineRule="exact"/>
        <w:ind w:firstLine="567"/>
        <w:jc w:val="both"/>
        <w:rPr>
          <w:sz w:val="28"/>
        </w:rPr>
      </w:pPr>
      <w:r w:rsidRPr="00892026">
        <w:rPr>
          <w:i/>
          <w:iCs/>
          <w:sz w:val="28"/>
          <w:lang w:val="nl-NL"/>
        </w:rPr>
        <w:t>“Trường hợp đối tượng khởi kiện ghi trong đơn không thuộc đối tượng khởi kiện vụ án hành chính thì Toà án giải thích cho người khởi kiện biết để người khởi kiện sửa đổi, bổ sung đơn khởi kiện về đối tượng khởi kiện trong thời hạn được hướng dẫn tại điểm a khoản này”.</w:t>
      </w:r>
    </w:p>
    <w:p w:rsidR="000918D6" w:rsidRPr="00892026" w:rsidRDefault="000918D6" w:rsidP="00892026">
      <w:pPr>
        <w:spacing w:before="120" w:after="120" w:line="320" w:lineRule="exact"/>
        <w:ind w:firstLine="567"/>
        <w:jc w:val="both"/>
        <w:rPr>
          <w:sz w:val="28"/>
        </w:rPr>
      </w:pPr>
      <w:r w:rsidRPr="00892026">
        <w:rPr>
          <w:b/>
          <w:bCs/>
          <w:sz w:val="28"/>
          <w:lang w:val="nl-NL"/>
        </w:rPr>
        <w:t>Điều 2. Hiệu lực thi hành</w:t>
      </w:r>
    </w:p>
    <w:p w:rsidR="000918D6" w:rsidRPr="00892026" w:rsidRDefault="000918D6" w:rsidP="00892026">
      <w:pPr>
        <w:spacing w:before="120" w:after="120" w:line="320" w:lineRule="exact"/>
        <w:ind w:firstLine="567"/>
        <w:jc w:val="both"/>
        <w:rPr>
          <w:sz w:val="28"/>
        </w:rPr>
      </w:pPr>
      <w:r w:rsidRPr="00892026">
        <w:rPr>
          <w:sz w:val="28"/>
          <w:lang w:val="nl-NL"/>
        </w:rPr>
        <w:t>1. Nghị quyết này đã được Hội đồng Thẩm phán Toà án nhân dân tối cao thông qua ngày</w:t>
      </w:r>
      <w:r w:rsidRPr="00892026">
        <w:rPr>
          <w:i/>
          <w:iCs/>
          <w:sz w:val="28"/>
          <w:lang w:val="nl-NL"/>
        </w:rPr>
        <w:t xml:space="preserve"> </w:t>
      </w:r>
      <w:r w:rsidRPr="00892026">
        <w:rPr>
          <w:sz w:val="28"/>
          <w:lang w:val="nl-NL"/>
        </w:rPr>
        <w:t>15</w:t>
      </w:r>
      <w:r w:rsidRPr="00892026">
        <w:rPr>
          <w:b/>
          <w:bCs/>
          <w:i/>
          <w:iCs/>
          <w:sz w:val="28"/>
          <w:lang w:val="nl-NL"/>
        </w:rPr>
        <w:t xml:space="preserve"> </w:t>
      </w:r>
      <w:r w:rsidRPr="00892026">
        <w:rPr>
          <w:sz w:val="28"/>
          <w:lang w:val="nl-NL"/>
        </w:rPr>
        <w:t>tháng 01 năm 2015 và có hiệu lực thi hành kể từ ngày 01 tháng 3 năm 2015.</w:t>
      </w:r>
    </w:p>
    <w:p w:rsidR="000918D6" w:rsidRPr="00892026" w:rsidRDefault="000918D6" w:rsidP="00892026">
      <w:pPr>
        <w:spacing w:before="120" w:after="120" w:line="320" w:lineRule="exact"/>
        <w:ind w:firstLine="567"/>
        <w:jc w:val="both"/>
        <w:rPr>
          <w:sz w:val="28"/>
        </w:rPr>
      </w:pPr>
      <w:r w:rsidRPr="00892026">
        <w:rPr>
          <w:sz w:val="28"/>
          <w:lang w:val="nl-NL"/>
        </w:rPr>
        <w:t>2. Đối với trường hợp cá nhân, cơ quan, tổ chức đã có đơn khởi kiện vụ án hành chính đúng thời hiệu theo quy định tại Điều 104 của Luật tố tụng hành chính nhưng Tòa án đã trả lại đơn khởi kiện hoặc đình chỉ việc giải quyết vụ án với lý do quyết định giải quyết khiếu nại không thuộc đối tượng khởi kiện vụ án hành chính mà trong thời hạn 01 năm, kể từ ngày Nghị quyết này có hiệu lực, cá nhân, cơ quan, tổ chức tiếp tục có đơn khởi kiện vụ án hành chính thì Tòa án thụ lý giải quyết theo thủ tục chung.</w:t>
      </w:r>
    </w:p>
    <w:p w:rsidR="000918D6" w:rsidRPr="00892026" w:rsidRDefault="000918D6" w:rsidP="00892026">
      <w:pPr>
        <w:spacing w:before="120" w:after="120" w:line="320" w:lineRule="exact"/>
        <w:ind w:firstLine="567"/>
        <w:jc w:val="both"/>
        <w:rPr>
          <w:sz w:val="28"/>
        </w:rPr>
      </w:pPr>
      <w:r w:rsidRPr="00892026">
        <w:rPr>
          <w:sz w:val="28"/>
          <w:lang w:val="nl-NL"/>
        </w:rPr>
        <w:lastRenderedPageBreak/>
        <w:t>3. Trong quá trình thực hiện, nếu có vướng mắc cần phải giải thích hoặc hướng dẫn bổ sung thì đề nghị phản ánh về Toà án nhân dân tối cao để có sự giải thích hoặc hướng dẫn bổ sung kịp thời.</w:t>
      </w:r>
    </w:p>
    <w:p w:rsidR="000918D6" w:rsidRPr="00892026" w:rsidRDefault="000918D6" w:rsidP="00892026">
      <w:pPr>
        <w:spacing w:before="120" w:after="120" w:line="320" w:lineRule="exact"/>
        <w:ind w:firstLine="567"/>
        <w:jc w:val="both"/>
        <w:rPr>
          <w:sz w:val="28"/>
        </w:rPr>
      </w:pPr>
      <w:r w:rsidRPr="00892026">
        <w:rPr>
          <w:sz w:val="28"/>
        </w:rPr>
        <w:t> </w:t>
      </w:r>
    </w:p>
    <w:tbl>
      <w:tblPr>
        <w:tblW w:w="5000" w:type="pct"/>
        <w:tblBorders>
          <w:top w:val="nil"/>
          <w:bottom w:val="nil"/>
          <w:insideH w:val="nil"/>
          <w:insideV w:val="nil"/>
        </w:tblBorders>
        <w:tblCellMar>
          <w:left w:w="0" w:type="dxa"/>
          <w:right w:w="0" w:type="dxa"/>
        </w:tblCellMar>
        <w:tblLook w:val="04A0"/>
      </w:tblPr>
      <w:tblGrid>
        <w:gridCol w:w="4643"/>
        <w:gridCol w:w="4644"/>
      </w:tblGrid>
      <w:tr w:rsidR="000918D6" w:rsidRPr="002E3FB0">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0918D6" w:rsidRPr="002E3FB0" w:rsidRDefault="000918D6" w:rsidP="002E3FB0">
            <w:pPr>
              <w:rPr>
                <w:sz w:val="22"/>
              </w:rPr>
            </w:pPr>
            <w:r w:rsidRPr="002E3FB0">
              <w:rPr>
                <w:b/>
                <w:bCs/>
                <w:i/>
                <w:iCs/>
                <w:sz w:val="22"/>
              </w:rPr>
              <w:t> </w:t>
            </w:r>
          </w:p>
          <w:p w:rsidR="000918D6" w:rsidRPr="002E3FB0" w:rsidRDefault="000918D6" w:rsidP="002E3FB0">
            <w:pPr>
              <w:rPr>
                <w:sz w:val="22"/>
              </w:rPr>
            </w:pPr>
            <w:r w:rsidRPr="002E3FB0">
              <w:rPr>
                <w:b/>
                <w:bCs/>
                <w:i/>
                <w:iCs/>
                <w:lang w:val="da-DK"/>
              </w:rPr>
              <w:t>Nơi nhận:</w:t>
            </w:r>
            <w:r w:rsidRPr="002E3FB0">
              <w:rPr>
                <w:b/>
                <w:bCs/>
                <w:i/>
                <w:iCs/>
                <w:sz w:val="22"/>
                <w:lang w:val="da-DK"/>
              </w:rPr>
              <w:br/>
            </w:r>
            <w:r w:rsidRPr="002E3FB0">
              <w:rPr>
                <w:sz w:val="22"/>
                <w:lang w:val="da-DK"/>
              </w:rPr>
              <w:t>- Uỷ ban thường vụ Quốc hội;</w:t>
            </w:r>
            <w:r w:rsidRPr="002E3FB0">
              <w:rPr>
                <w:sz w:val="22"/>
                <w:lang w:val="da-DK"/>
              </w:rPr>
              <w:br/>
              <w:t>- Ủy ban tư pháp của Quốc hội</w:t>
            </w:r>
            <w:r w:rsidRPr="002E3FB0">
              <w:rPr>
                <w:sz w:val="22"/>
                <w:lang w:val="da-DK"/>
              </w:rPr>
              <w:br/>
              <w:t>- Uỷ ban pháp luật của Quốc hội;</w:t>
            </w:r>
            <w:r w:rsidRPr="002E3FB0">
              <w:rPr>
                <w:sz w:val="22"/>
                <w:lang w:val="da-DK"/>
              </w:rPr>
              <w:br/>
              <w:t>- Ban Nội chính TW;</w:t>
            </w:r>
            <w:r w:rsidRPr="002E3FB0">
              <w:rPr>
                <w:sz w:val="22"/>
                <w:lang w:val="da-DK"/>
              </w:rPr>
              <w:br/>
              <w:t>- Văn phòng Chủ tịch nước;</w:t>
            </w:r>
            <w:r w:rsidRPr="002E3FB0">
              <w:rPr>
                <w:sz w:val="22"/>
                <w:lang w:val="da-DK"/>
              </w:rPr>
              <w:br/>
              <w:t xml:space="preserve">- Văn phòng Chính phủ 2 bản </w:t>
            </w:r>
            <w:r w:rsidRPr="002E3FB0">
              <w:rPr>
                <w:i/>
                <w:iCs/>
                <w:sz w:val="22"/>
                <w:lang w:val="da-DK"/>
              </w:rPr>
              <w:t>(để đăng Công báo);</w:t>
            </w:r>
            <w:r w:rsidRPr="002E3FB0">
              <w:rPr>
                <w:sz w:val="22"/>
                <w:lang w:val="da-DK"/>
              </w:rPr>
              <w:br/>
              <w:t>- Viện kiểm sát nhân dân tối cao;</w:t>
            </w:r>
            <w:r w:rsidRPr="002E3FB0">
              <w:rPr>
                <w:sz w:val="22"/>
                <w:lang w:val="da-DK"/>
              </w:rPr>
              <w:br/>
              <w:t>- Bộ Tư pháp;</w:t>
            </w:r>
            <w:r w:rsidRPr="002E3FB0">
              <w:rPr>
                <w:sz w:val="22"/>
                <w:lang w:val="da-DK"/>
              </w:rPr>
              <w:br/>
              <w:t>- Các TAND tỉnh, thành phố trực thuộc TW;</w:t>
            </w:r>
            <w:r w:rsidRPr="002E3FB0">
              <w:rPr>
                <w:sz w:val="22"/>
                <w:lang w:val="da-DK"/>
              </w:rPr>
              <w:br/>
              <w:t>- Các TAND huyện, quận, thị xã, thành phố</w:t>
            </w:r>
            <w:r w:rsidRPr="002E3FB0">
              <w:rPr>
                <w:sz w:val="22"/>
                <w:lang w:val="da-DK"/>
              </w:rPr>
              <w:br/>
              <w:t>thuộc tỉnh;</w:t>
            </w:r>
            <w:r w:rsidRPr="002E3FB0">
              <w:rPr>
                <w:sz w:val="22"/>
                <w:lang w:val="da-DK"/>
              </w:rPr>
              <w:br/>
              <w:t>- Các Thẩm phán và các đơn vị TANDTC;</w:t>
            </w:r>
            <w:r w:rsidRPr="002E3FB0">
              <w:rPr>
                <w:sz w:val="22"/>
                <w:lang w:val="da-DK"/>
              </w:rPr>
              <w:br/>
              <w:t>- Cổng thông tin điện tử TANDTC;</w:t>
            </w:r>
            <w:r w:rsidRPr="002E3FB0">
              <w:rPr>
                <w:sz w:val="22"/>
                <w:lang w:val="da-DK"/>
              </w:rPr>
              <w:br/>
              <w:t>- Lưu: VT (TANDTC, Viện KHXX).</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rsidR="000918D6" w:rsidRPr="002E3FB0" w:rsidRDefault="000918D6" w:rsidP="002E3FB0">
            <w:pPr>
              <w:jc w:val="center"/>
              <w:rPr>
                <w:sz w:val="26"/>
              </w:rPr>
            </w:pPr>
            <w:r w:rsidRPr="002E3FB0">
              <w:rPr>
                <w:b/>
                <w:bCs/>
                <w:sz w:val="26"/>
                <w:lang w:val="da-DK"/>
              </w:rPr>
              <w:t>TM. HỘI ĐỒNG THẨM PHÁN</w:t>
            </w:r>
            <w:r w:rsidRPr="002E3FB0">
              <w:rPr>
                <w:sz w:val="26"/>
                <w:lang w:val="da-DK"/>
              </w:rPr>
              <w:br/>
            </w:r>
            <w:r w:rsidRPr="002E3FB0">
              <w:rPr>
                <w:b/>
                <w:bCs/>
                <w:sz w:val="26"/>
                <w:lang w:val="da-DK"/>
              </w:rPr>
              <w:t>TÒA ÁN NHÂN DÂN TỐI CAO</w:t>
            </w:r>
            <w:r w:rsidRPr="002E3FB0">
              <w:rPr>
                <w:sz w:val="26"/>
                <w:lang w:val="da-DK"/>
              </w:rPr>
              <w:br/>
            </w:r>
            <w:r w:rsidRPr="002E3FB0">
              <w:rPr>
                <w:b/>
                <w:bCs/>
                <w:sz w:val="26"/>
                <w:lang w:val="da-DK"/>
              </w:rPr>
              <w:t>CHÁNH ÁN</w:t>
            </w:r>
            <w:r w:rsidRPr="002E3FB0">
              <w:rPr>
                <w:sz w:val="26"/>
                <w:lang w:val="da-DK"/>
              </w:rPr>
              <w:br/>
            </w:r>
            <w:r w:rsidRPr="002E3FB0">
              <w:rPr>
                <w:b/>
                <w:bCs/>
                <w:sz w:val="26"/>
                <w:lang w:val="da-DK"/>
              </w:rPr>
              <w:br/>
            </w:r>
            <w:r w:rsidR="002E3FB0" w:rsidRPr="002E3FB0">
              <w:rPr>
                <w:b/>
                <w:bCs/>
                <w:i/>
                <w:sz w:val="26"/>
                <w:lang w:val="da-DK"/>
              </w:rPr>
              <w:t>(Đã ký)</w:t>
            </w:r>
            <w:r w:rsidR="002E3FB0">
              <w:rPr>
                <w:b/>
                <w:bCs/>
                <w:sz w:val="26"/>
                <w:lang w:val="da-DK"/>
              </w:rPr>
              <w:t xml:space="preserve"> </w:t>
            </w:r>
            <w:r w:rsidRPr="002E3FB0">
              <w:rPr>
                <w:b/>
                <w:bCs/>
                <w:sz w:val="26"/>
                <w:lang w:val="da-DK"/>
              </w:rPr>
              <w:br/>
            </w:r>
            <w:r w:rsidRPr="002E3FB0">
              <w:rPr>
                <w:b/>
                <w:bCs/>
                <w:sz w:val="26"/>
                <w:lang w:val="da-DK"/>
              </w:rPr>
              <w:br/>
              <w:t>Trương Hòa Bình</w:t>
            </w:r>
          </w:p>
        </w:tc>
      </w:tr>
    </w:tbl>
    <w:p w:rsidR="000918D6" w:rsidRPr="00892026" w:rsidRDefault="000918D6" w:rsidP="00892026">
      <w:pPr>
        <w:spacing w:before="120" w:after="120" w:line="320" w:lineRule="exact"/>
        <w:ind w:firstLine="567"/>
        <w:jc w:val="both"/>
        <w:rPr>
          <w:sz w:val="28"/>
        </w:rPr>
      </w:pPr>
      <w:r w:rsidRPr="00892026">
        <w:rPr>
          <w:sz w:val="28"/>
          <w:lang w:val="da-DK"/>
        </w:rPr>
        <w:t> </w:t>
      </w:r>
    </w:p>
    <w:sectPr w:rsidR="000918D6" w:rsidRPr="00892026" w:rsidSect="00892026">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701"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3CEF" w:rsidRDefault="005C3CEF" w:rsidP="005C3CEF">
      <w:r>
        <w:separator/>
      </w:r>
    </w:p>
  </w:endnote>
  <w:endnote w:type="continuationSeparator" w:id="1">
    <w:p w:rsidR="005C3CEF" w:rsidRDefault="005C3CEF" w:rsidP="005C3C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CEF" w:rsidRDefault="005C3CE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CEF" w:rsidRPr="0068291A" w:rsidRDefault="0068291A">
    <w:pPr>
      <w:pStyle w:val="Footer"/>
      <w:rPr>
        <w:b/>
        <w:color w:val="FF0000"/>
        <w:sz w:val="36"/>
      </w:rPr>
    </w:pPr>
    <w:r>
      <w:rPr>
        <w:rFonts w:ascii="Arial" w:hAnsi="Arial" w:cs="Arial"/>
        <w:b/>
        <w:noProof/>
        <w:color w:val="FF0000"/>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color w:val="FF0000"/>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CEF" w:rsidRDefault="005C3C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3CEF" w:rsidRDefault="005C3CEF" w:rsidP="005C3CEF">
      <w:r>
        <w:separator/>
      </w:r>
    </w:p>
  </w:footnote>
  <w:footnote w:type="continuationSeparator" w:id="1">
    <w:p w:rsidR="005C3CEF" w:rsidRDefault="005C3CEF" w:rsidP="005C3C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CEF" w:rsidRDefault="005C3CE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CEF" w:rsidRPr="0068291A" w:rsidRDefault="0068291A">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3CEF" w:rsidRDefault="005C3CE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TrackMoves/>
  <w:defaultTabStop w:val="720"/>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92026"/>
    <w:rsid w:val="000918D6"/>
    <w:rsid w:val="002E3FB0"/>
    <w:rsid w:val="005C3CEF"/>
    <w:rsid w:val="0068291A"/>
    <w:rsid w:val="00796451"/>
    <w:rsid w:val="00892026"/>
  </w:rsids>
  <m:mathPr>
    <m:mathFont m:val="Cambria Math"/>
    <m:brkBin m:val="before"/>
    <m:brkBinSub m:val="--"/>
    <m:smallFrac m:val="off"/>
    <m:dispDef/>
    <m:lMargin m:val="0"/>
    <m:rMargin m:val="0"/>
    <m:defJc m:val="centerGroup"/>
    <m:wrapIndent m:val="1440"/>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C3CEF"/>
    <w:pPr>
      <w:tabs>
        <w:tab w:val="center" w:pos="4513"/>
        <w:tab w:val="right" w:pos="9026"/>
      </w:tabs>
    </w:pPr>
  </w:style>
  <w:style w:type="character" w:customStyle="1" w:styleId="HeaderChar">
    <w:name w:val="Header Char"/>
    <w:basedOn w:val="DefaultParagraphFont"/>
    <w:link w:val="Header"/>
    <w:uiPriority w:val="99"/>
    <w:semiHidden/>
    <w:rsid w:val="005C3CEF"/>
    <w:rPr>
      <w:sz w:val="24"/>
      <w:szCs w:val="24"/>
    </w:rPr>
  </w:style>
  <w:style w:type="paragraph" w:styleId="Footer">
    <w:name w:val="footer"/>
    <w:basedOn w:val="Normal"/>
    <w:link w:val="FooterChar"/>
    <w:uiPriority w:val="99"/>
    <w:semiHidden/>
    <w:unhideWhenUsed/>
    <w:rsid w:val="005C3CEF"/>
    <w:pPr>
      <w:tabs>
        <w:tab w:val="center" w:pos="4513"/>
        <w:tab w:val="right" w:pos="9026"/>
      </w:tabs>
    </w:pPr>
  </w:style>
  <w:style w:type="character" w:customStyle="1" w:styleId="FooterChar">
    <w:name w:val="Footer Char"/>
    <w:basedOn w:val="DefaultParagraphFont"/>
    <w:link w:val="Footer"/>
    <w:uiPriority w:val="99"/>
    <w:semiHidden/>
    <w:rsid w:val="005C3CEF"/>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2F2450-4922-44DE-8226-7DEA972CAF9E}">
  <ds:schemaRefs>
    <ds:schemaRef ds:uri="http://schemas.microsoft.com/sharepoint/v3/contenttype/forms"/>
  </ds:schemaRefs>
</ds:datastoreItem>
</file>

<file path=customXml/itemProps2.xml><?xml version="1.0" encoding="utf-8"?>
<ds:datastoreItem xmlns:ds="http://schemas.openxmlformats.org/officeDocument/2006/customXml" ds:itemID="{4E315A0F-007B-4781-80BB-B4DFF5AD13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426</Words>
  <Characters>2432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LMK</cp:lastModifiedBy>
  <cp:revision>4</cp:revision>
  <cp:lastPrinted>1601-01-01T00:00:00Z</cp:lastPrinted>
  <dcterms:created xsi:type="dcterms:W3CDTF">2015-03-27T01:10:00Z</dcterms:created>
  <dcterms:modified xsi:type="dcterms:W3CDTF">2015-07-09T09:53:00Z</dcterms:modified>
</cp:coreProperties>
</file>