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3348"/>
        <w:gridCol w:w="5631"/>
      </w:tblGrid>
      <w:tr w:rsidR="00000000"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 xml:space="preserve">ỦY BAN THƯỜNG VỤ </w:t>
            </w:r>
            <w:r>
              <w:rPr>
                <w:b/>
                <w:bCs/>
              </w:rPr>
              <w:br/>
              <w:t>QUỐC HỘI</w:t>
            </w:r>
            <w:r>
              <w:rPr>
                <w:b/>
                <w:bCs/>
              </w:rPr>
              <w:br/>
              <w:t>--------</w:t>
            </w:r>
          </w:p>
        </w:tc>
        <w:tc>
          <w:tcPr>
            <w:tcW w:w="56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CỘNG HÒA XÃ HỘI CHỦ NGHĨA VIỆT NAM</w:t>
            </w:r>
            <w:r>
              <w:rPr>
                <w:b/>
                <w:bCs/>
              </w:rPr>
              <w:br/>
              <w:t>Độc lập - Tự do - Hạnh phúc</w:t>
            </w:r>
            <w:r>
              <w:rPr>
                <w:b/>
                <w:bCs/>
              </w:rPr>
              <w:br/>
              <w:t>----------------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C60F59">
            <w:pPr>
              <w:spacing w:before="120"/>
              <w:jc w:val="center"/>
            </w:pPr>
            <w:r>
              <w:t>Nghị quyết số: 712/2013/UBTVQH13</w:t>
            </w:r>
          </w:p>
        </w:tc>
        <w:tc>
          <w:tcPr>
            <w:tcW w:w="56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C60F59">
            <w:pPr>
              <w:spacing w:before="120"/>
              <w:jc w:val="right"/>
            </w:pPr>
            <w:r>
              <w:rPr>
                <w:i/>
                <w:iCs/>
              </w:rPr>
              <w:t>Hà Nội, ngày 16 tháng 12 năm 2013</w:t>
            </w:r>
          </w:p>
        </w:tc>
      </w:tr>
    </w:tbl>
    <w:p w:rsidR="00000000" w:rsidRDefault="00C60F59">
      <w:pPr>
        <w:spacing w:before="120" w:after="280" w:afterAutospacing="1"/>
        <w:jc w:val="center"/>
      </w:pPr>
      <w:r>
        <w:rPr>
          <w:b/>
          <w:bCs/>
        </w:rPr>
        <w:t> </w:t>
      </w:r>
    </w:p>
    <w:p w:rsidR="00000000" w:rsidRDefault="00C60F59">
      <w:pPr>
        <w:spacing w:before="120" w:after="280" w:afterAutospacing="1"/>
        <w:jc w:val="center"/>
      </w:pPr>
      <w:r>
        <w:rPr>
          <w:b/>
          <w:bCs/>
        </w:rPr>
        <w:t>NGHỊ QUYẾT</w:t>
      </w:r>
    </w:p>
    <w:p w:rsidR="00000000" w:rsidRDefault="00C60F59">
      <w:pPr>
        <w:spacing w:before="120" w:after="280" w:afterAutospacing="1"/>
        <w:jc w:val="center"/>
      </w:pPr>
      <w:r>
        <w:t>VỀ VIỆC BAN HÀNH BIỂU MỨC THUẾ SUẤT THUẾ TÀI NGUYÊN</w:t>
      </w:r>
    </w:p>
    <w:p w:rsidR="00000000" w:rsidRDefault="00C60F59">
      <w:pPr>
        <w:spacing w:before="120" w:after="280" w:afterAutospacing="1"/>
        <w:jc w:val="center"/>
      </w:pPr>
      <w:r>
        <w:rPr>
          <w:b/>
          <w:bCs/>
        </w:rPr>
        <w:t>ỦY BAN</w:t>
      </w:r>
      <w:r>
        <w:rPr>
          <w:b/>
          <w:bCs/>
        </w:rPr>
        <w:t xml:space="preserve"> THƯỜNG VỤ QUỐC HỘI</w:t>
      </w:r>
      <w:r>
        <w:rPr>
          <w:b/>
          <w:bCs/>
        </w:rPr>
        <w:br/>
        <w:t>NƯỚC CỘNG HÒA XÃ HỘI CHỦ NGHĨA VIỆT NAM</w:t>
      </w:r>
    </w:p>
    <w:p w:rsidR="00000000" w:rsidRDefault="00C60F59">
      <w:pPr>
        <w:spacing w:before="120" w:after="280" w:afterAutospacing="1"/>
      </w:pPr>
      <w:r>
        <w:rPr>
          <w:i/>
          <w:iCs/>
        </w:rPr>
        <w:t>Căn cứ Hiến pháp nước Cộng hòa xã hội chủ nghĩa Việt Nam;</w:t>
      </w:r>
    </w:p>
    <w:p w:rsidR="00000000" w:rsidRDefault="00C60F59">
      <w:pPr>
        <w:spacing w:before="120" w:after="280" w:afterAutospacing="1"/>
      </w:pPr>
      <w:r>
        <w:rPr>
          <w:i/>
          <w:iCs/>
        </w:rPr>
        <w:t>Căn cứ Luật tổ chức Quốc hội số 30/2001/QH10 đã được sửa đổi, bổ sung một số điều theo Luật số 83/2007/QH11;</w:t>
      </w:r>
    </w:p>
    <w:p w:rsidR="00000000" w:rsidRDefault="00C60F59">
      <w:pPr>
        <w:spacing w:before="120" w:after="120"/>
      </w:pPr>
      <w:r>
        <w:rPr>
          <w:i/>
          <w:iCs/>
        </w:rPr>
        <w:t>Căn cứ Luật thuế tài nguyên s</w:t>
      </w:r>
      <w:r>
        <w:rPr>
          <w:i/>
          <w:iCs/>
        </w:rPr>
        <w:t>ố 45/2009/QH12;</w:t>
      </w:r>
    </w:p>
    <w:p w:rsidR="00000000" w:rsidRDefault="00C60F59">
      <w:pPr>
        <w:spacing w:before="120" w:after="120"/>
      </w:pPr>
      <w:r>
        <w:rPr>
          <w:i/>
          <w:iCs/>
        </w:rPr>
        <w:t>Trên cơ sở xem xét Tờ trình số 382/TTr-Cp ngày 07/10/2013 của Chính phủ; Báo cáo tiếp thu giải trình số 1589/BC - UBTCNS13 ngày 10/10/2013 của Ủy ban Tài chính – Ngân sách,</w:t>
      </w:r>
    </w:p>
    <w:p w:rsidR="00000000" w:rsidRDefault="00C60F59">
      <w:pPr>
        <w:spacing w:after="280" w:afterAutospacing="1"/>
      </w:pPr>
      <w:r>
        <w:t> </w:t>
      </w:r>
    </w:p>
    <w:p w:rsidR="00000000" w:rsidRDefault="00C60F59">
      <w:pPr>
        <w:spacing w:before="120" w:after="280" w:afterAutospacing="1"/>
        <w:jc w:val="center"/>
      </w:pPr>
      <w:r>
        <w:rPr>
          <w:b/>
          <w:bCs/>
        </w:rPr>
        <w:t>QUYẾT NGHỊ:</w:t>
      </w:r>
    </w:p>
    <w:p w:rsidR="00000000" w:rsidRDefault="00C60F59">
      <w:pPr>
        <w:spacing w:before="120" w:after="280" w:afterAutospacing="1"/>
      </w:pPr>
      <w:r>
        <w:rPr>
          <w:b/>
          <w:bCs/>
        </w:rPr>
        <w:t>Điều 1.</w:t>
      </w:r>
    </w:p>
    <w:p w:rsidR="00000000" w:rsidRDefault="00C60F59">
      <w:pPr>
        <w:spacing w:before="120" w:after="280" w:afterAutospacing="1"/>
      </w:pPr>
      <w:r>
        <w:t>Ban hành kèm theo Nghị quyết này Biểu mức thu</w:t>
      </w:r>
      <w:r>
        <w:t>ế suất thuế tài nguyên theo khung thuế suất thuế tài nguyên được quy định tại Điều 7 của Luật thuế tài nguyên số 45/2009/QH12.</w:t>
      </w:r>
    </w:p>
    <w:p w:rsidR="00000000" w:rsidRDefault="00C60F59">
      <w:pPr>
        <w:spacing w:before="120" w:after="280" w:afterAutospacing="1"/>
      </w:pPr>
      <w:bookmarkStart w:id="0" w:name="bookmark7"/>
      <w:r>
        <w:rPr>
          <w:b/>
          <w:bCs/>
        </w:rPr>
        <w:t>Điều 2</w:t>
      </w:r>
      <w:bookmarkEnd w:id="0"/>
      <w:r>
        <w:rPr>
          <w:b/>
          <w:bCs/>
        </w:rPr>
        <w:t>.</w:t>
      </w:r>
    </w:p>
    <w:p w:rsidR="00000000" w:rsidRDefault="00C60F59">
      <w:pPr>
        <w:spacing w:before="120" w:after="280" w:afterAutospacing="1"/>
      </w:pPr>
      <w:r>
        <w:t>Nghị quyết này có hiệu lực thi hành từ ngày 01 tháng 02 năm 2014.</w:t>
      </w:r>
    </w:p>
    <w:p w:rsidR="00000000" w:rsidRDefault="00C60F59">
      <w:pPr>
        <w:spacing w:before="120" w:after="280" w:afterAutospacing="1"/>
      </w:pPr>
      <w:r>
        <w:t>Nghị quyết số 928/2010/UBTVQH12 ngày 19 tháng 4 năm 201</w:t>
      </w:r>
      <w:r>
        <w:t>0 của Ủy ban thường vụ Quốc hội về việc ban hành Biểu mức thuế suất thuế tài nguyên hết hiệu lực kể từ ngày Nghị quyết này có hiệu lực.</w:t>
      </w:r>
    </w:p>
    <w:p w:rsidR="00000000" w:rsidRDefault="00C60F59">
      <w:pPr>
        <w:spacing w:before="120" w:after="280" w:afterAutospacing="1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3984"/>
        <w:gridCol w:w="5187"/>
      </w:tblGrid>
      <w:tr w:rsidR="00000000">
        <w:tc>
          <w:tcPr>
            <w:tcW w:w="39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C60F59">
            <w:pPr>
              <w:spacing w:before="120"/>
            </w:pPr>
            <w:r>
              <w:rPr>
                <w:i/>
                <w:iCs/>
                <w:sz w:val="16"/>
              </w:rPr>
              <w:t> </w:t>
            </w:r>
          </w:p>
        </w:tc>
        <w:tc>
          <w:tcPr>
            <w:tcW w:w="51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TM. ỦY BAN THƯỜNG VỤ QUỐC HỘI</w:t>
            </w:r>
            <w:r>
              <w:rPr>
                <w:b/>
                <w:bCs/>
              </w:rPr>
              <w:br/>
              <w:t>CHỦ TỊCH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lastRenderedPageBreak/>
              <w:br/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br/>
              <w:t>Nguyễn Sinh Hùng</w:t>
            </w:r>
          </w:p>
        </w:tc>
      </w:tr>
    </w:tbl>
    <w:p w:rsidR="00000000" w:rsidRDefault="00C60F59">
      <w:pPr>
        <w:spacing w:before="120" w:after="280" w:afterAutospacing="1"/>
      </w:pPr>
      <w:r>
        <w:lastRenderedPageBreak/>
        <w:t> </w:t>
      </w:r>
    </w:p>
    <w:p w:rsidR="00000000" w:rsidRDefault="00C60F59">
      <w:pPr>
        <w:spacing w:before="120" w:after="280" w:afterAutospacing="1"/>
        <w:jc w:val="center"/>
      </w:pPr>
      <w:r>
        <w:rPr>
          <w:b/>
          <w:bCs/>
        </w:rPr>
        <w:t>BIỂU MỨC THUẾ SUẤT THUẾ TÀI NGUYÊN</w:t>
      </w:r>
    </w:p>
    <w:p w:rsidR="00000000" w:rsidRDefault="00C60F59">
      <w:pPr>
        <w:spacing w:before="120" w:after="280" w:afterAutospacing="1"/>
        <w:jc w:val="center"/>
      </w:pPr>
      <w:r>
        <w:rPr>
          <w:i/>
          <w:iCs/>
        </w:rPr>
        <w:t>(Ban hành kèm theo</w:t>
      </w:r>
      <w:r>
        <w:rPr>
          <w:i/>
          <w:iCs/>
        </w:rPr>
        <w:t xml:space="preserve"> Nghị quyết số 712/2013/UBTVQH13 ngày 16 tháng 12 năm 2013 của Ủy ban thường vụ Quốc hội)</w:t>
      </w:r>
    </w:p>
    <w:p w:rsidR="00000000" w:rsidRDefault="00C60F59">
      <w:pPr>
        <w:spacing w:before="120" w:after="280" w:afterAutospacing="1"/>
      </w:pPr>
      <w:r>
        <w:t>1. Biểu mức thuế suất đối với các loại tài nguyên, trừ dầu thô và khí thiên nhiên, khí than: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765"/>
        <w:gridCol w:w="6305"/>
        <w:gridCol w:w="1786"/>
      </w:tblGrid>
      <w:tr w:rsidR="00000000">
        <w:tc>
          <w:tcPr>
            <w:tcW w:w="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STT</w:t>
            </w:r>
          </w:p>
        </w:tc>
        <w:tc>
          <w:tcPr>
            <w:tcW w:w="63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Nhóm, loại tài nguyên</w:t>
            </w:r>
          </w:p>
        </w:tc>
        <w:tc>
          <w:tcPr>
            <w:tcW w:w="17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Thuế suất</w:t>
            </w:r>
            <w:r>
              <w:rPr>
                <w:b/>
                <w:bCs/>
              </w:rPr>
              <w:br/>
              <w:t>(%)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I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rPr>
                <w:b/>
                <w:bCs/>
              </w:rPr>
              <w:t>Khoáng sản kim loại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 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Sắt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</w:t>
            </w:r>
            <w:r>
              <w:t>2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Măng-gan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11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3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Ti-tan (titan)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16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4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Vàng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15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5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Đất hiếm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15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6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Bạch kim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7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Bạc, thiếc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8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Vôn-phờ-ram (wolfram), ăng-ti-moan (antimoan)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18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9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Chì, kẽm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Nhôm, bô-xít (bouxite)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12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11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Đồng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13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12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Ni-ken (niken)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13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Cô-ban (coban), mô-lip-đe</w:t>
            </w:r>
            <w:r>
              <w:t>n (molipden), thủy ngân, ma-nhê (magie), va-na-đi (vanadi)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14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Khoáng sản kim loại khác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II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rPr>
                <w:b/>
                <w:bCs/>
              </w:rPr>
              <w:t>Khoáng sản không kim loại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 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Đất khai thác để san lấp, xây dựng công trình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4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Đá, sỏi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7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3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Đá nung vôi và sản xuất xi măng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7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lastRenderedPageBreak/>
              <w:t>4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Đá hoa trắng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9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5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Cát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11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6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Cát làm thủy tinh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13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7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Đất làm gạch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8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Gờ-ra-nít (granite)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9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Sét chịu lửa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Đô-lô-mít (dolomite), quắc-zít (quartzite)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12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11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Cao lanh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12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Mi-ca (mica), thạch anh kỹ thuật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13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Pi-rít (pirite), phốt-pho-rít (phosphorite)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7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14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 xml:space="preserve">A-pa-tít </w:t>
            </w:r>
            <w:r>
              <w:t>(apatit)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5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15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Séc-păng-tin (secpentin)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3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16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Than an-tra-xít (antraxit) hầm lò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7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17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Than an-tra-xít (antraxit) lộ thiên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9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18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Than nâu, than mỡ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9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19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Than khác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7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20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Kim cương, ru-bi (rubi), sa-phia (sapphire)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22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21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E-mô-rốt (emerald), a-lếch-xan-đờ-rít</w:t>
            </w:r>
            <w:r>
              <w:t xml:space="preserve"> (alexandrite), ô-pan (opan) quý màu đen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22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Adít, rô-đô-lít (rodolite), py-rốp (pyrope), bê-rin (berin), sờ-pi-nen (spinen), tô-paz (topaz)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15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23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Thạch anh tinh thể màu tím xanh, vàng lục, da cam; cờ-ri-ô-lít (cryolite); ô-pan (opan) quý màu trắng, đỏ</w:t>
            </w:r>
            <w:r>
              <w:t xml:space="preserve"> lửa; phen-sờ-phát (fenspat); birusa; nê-phờ-rít (nefrite)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15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24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Khoáng sản không kim loại khác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5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III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rPr>
                <w:b/>
                <w:bCs/>
              </w:rPr>
              <w:t>Sản phẩm của rừng tự nhiên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 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Gỗ nhóm I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35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Gỗ nhóm II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30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3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Gỗ nhóm III, IV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4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Gỗ nhóm V, VI, VII, VIII và các loại gỗ khác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15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5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Cành, ngọn, gố</w:t>
            </w:r>
            <w:r>
              <w:t>c, rễ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6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Củi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5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lastRenderedPageBreak/>
              <w:t>7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Tre, trúc, nứa, mai, giang, tranh, vầu, lồ 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8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Trầm hương, kỳ nam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25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9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Hồi, quế, sa nhân, thảo quả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Sản phẩm khác của rừng tự nhiên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5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IV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rPr>
                <w:b/>
                <w:bCs/>
              </w:rPr>
              <w:t>Hải sản tự nhiên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 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Ngọc trai, bào ngư, hải sâm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Hải sản tự nhiên khác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V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rPr>
                <w:b/>
                <w:bCs/>
              </w:rPr>
              <w:t>Nướ</w:t>
            </w:r>
            <w:r>
              <w:rPr>
                <w:b/>
                <w:bCs/>
              </w:rPr>
              <w:t>c thiên nhiên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 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Nước khoáng thiên nhiên, nước nóng thiên nhiên, nước thiên nhiên tinh lọc đóng chai, đóng hộp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8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Nước thiên nhiên dùng cho sản xuất thủy điện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4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3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Nước thiên nhiên dùng cho sản xuất, kinh doanh, trừ nước quy định tại điểm 1 và điểm 2 N</w:t>
            </w:r>
            <w:r>
              <w:t>hóm này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 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3.1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Nước mặt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 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a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Nước dùng cho sản xuất nước sạch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b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Nước dùng cho mục đích khác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3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3.2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Nước dưới đất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 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a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Nước dùng cho sản xuất nước sạch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3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b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Nước dùng cho mục đích khác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5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VI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rPr>
                <w:b/>
                <w:bCs/>
              </w:rPr>
              <w:t>Yến sào thiên nhiên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VII</w:t>
            </w:r>
          </w:p>
        </w:tc>
        <w:tc>
          <w:tcPr>
            <w:tcW w:w="6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rPr>
                <w:b/>
                <w:bCs/>
              </w:rPr>
              <w:t>Tài nguyên khác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</w:tr>
    </w:tbl>
    <w:p w:rsidR="00000000" w:rsidRDefault="00C60F59">
      <w:pPr>
        <w:spacing w:before="120" w:after="280" w:afterAutospacing="1"/>
      </w:pPr>
      <w:r>
        <w:t>2. Biểu mức thu</w:t>
      </w:r>
      <w:r>
        <w:t>ế suất đối với dầu thô và khí thiên nhiên, khí than: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759"/>
        <w:gridCol w:w="5202"/>
        <w:gridCol w:w="1"/>
        <w:gridCol w:w="1447"/>
        <w:gridCol w:w="1447"/>
      </w:tblGrid>
      <w:tr w:rsidR="00000000">
        <w:tc>
          <w:tcPr>
            <w:tcW w:w="7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STT</w:t>
            </w:r>
          </w:p>
        </w:tc>
        <w:tc>
          <w:tcPr>
            <w:tcW w:w="520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Sản lượng khai thác</w:t>
            </w:r>
          </w:p>
        </w:tc>
        <w:tc>
          <w:tcPr>
            <w:tcW w:w="2895" w:type="dxa"/>
            <w:h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Thuế suất (%)</w:t>
            </w:r>
          </w:p>
        </w:tc>
        <w:tc>
          <w:tcPr>
            <w:tcW w:w="2895" w:type="dxa"/>
            <w:gridSpan w:val="2"/>
            <w:h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Thuế suất (%)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00000" w:rsidRDefault="00C60F59">
            <w:pPr>
              <w:spacing w:before="120"/>
              <w:jc w:val="center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000000" w:rsidRDefault="00C60F59">
            <w:pPr>
              <w:spacing w:before="120"/>
              <w:jc w:val="center"/>
            </w:pP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Dự án khuyến khích đầu tư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Dự án khác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I</w:t>
            </w:r>
          </w:p>
        </w:tc>
        <w:tc>
          <w:tcPr>
            <w:tcW w:w="5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rPr>
                <w:b/>
                <w:bCs/>
              </w:rPr>
              <w:t>Đối với dầu thô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 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</w:t>
            </w:r>
          </w:p>
        </w:tc>
        <w:tc>
          <w:tcPr>
            <w:tcW w:w="5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Đến 20.000 thùng/ngày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</w:t>
            </w:r>
          </w:p>
        </w:tc>
        <w:tc>
          <w:tcPr>
            <w:tcW w:w="5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Trên 20.000 thùng đến 50.000 thùng/ngày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12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3</w:t>
            </w:r>
          </w:p>
        </w:tc>
        <w:tc>
          <w:tcPr>
            <w:tcW w:w="5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Trên 50</w:t>
            </w:r>
            <w:r>
              <w:t>.000 thùng đến 75.000 thùng/ngày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14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4</w:t>
            </w:r>
          </w:p>
        </w:tc>
        <w:tc>
          <w:tcPr>
            <w:tcW w:w="5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Trên 75.000 thùng đến 100.000 thùng/ngày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19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5</w:t>
            </w:r>
          </w:p>
        </w:tc>
        <w:tc>
          <w:tcPr>
            <w:tcW w:w="5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Trên 100.000 thùng đến 150.000 thùng/ngày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24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6</w:t>
            </w:r>
          </w:p>
        </w:tc>
        <w:tc>
          <w:tcPr>
            <w:tcW w:w="5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Trên 150.000 thùng/ngày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29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rPr>
                <w:b/>
                <w:bCs/>
              </w:rPr>
              <w:t>II</w:t>
            </w:r>
          </w:p>
        </w:tc>
        <w:tc>
          <w:tcPr>
            <w:tcW w:w="5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rPr>
                <w:b/>
                <w:bCs/>
              </w:rPr>
              <w:t>Đối với khí thiên nhiên, khí than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 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</w:t>
            </w:r>
          </w:p>
        </w:tc>
        <w:tc>
          <w:tcPr>
            <w:tcW w:w="5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Đến 5 triệu m</w:t>
            </w:r>
            <w:r>
              <w:rPr>
                <w:vertAlign w:val="superscript"/>
              </w:rPr>
              <w:t>3</w:t>
            </w:r>
            <w:r>
              <w:t>/ngày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2</w:t>
            </w:r>
          </w:p>
        </w:tc>
        <w:tc>
          <w:tcPr>
            <w:tcW w:w="5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Trên 5 triệ</w:t>
            </w:r>
            <w:r>
              <w:t>u m</w:t>
            </w:r>
            <w:r>
              <w:rPr>
                <w:vertAlign w:val="superscript"/>
              </w:rPr>
              <w:t>3</w:t>
            </w:r>
            <w:r>
              <w:t xml:space="preserve"> đến 10 triệu m</w:t>
            </w:r>
            <w:r>
              <w:rPr>
                <w:vertAlign w:val="superscript"/>
              </w:rPr>
              <w:t>3</w:t>
            </w:r>
            <w:r>
              <w:t>/ngày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5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3</w:t>
            </w:r>
          </w:p>
        </w:tc>
        <w:tc>
          <w:tcPr>
            <w:tcW w:w="5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</w:pPr>
            <w:r>
              <w:t>Trên 10 triệu m</w:t>
            </w:r>
            <w:r>
              <w:rPr>
                <w:vertAlign w:val="superscript"/>
              </w:rPr>
              <w:t>3</w:t>
            </w:r>
            <w:r>
              <w:t>/ngày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C60F59">
            <w:pPr>
              <w:spacing w:before="120"/>
              <w:jc w:val="center"/>
            </w:pPr>
            <w:r>
              <w:t>10</w:t>
            </w:r>
          </w:p>
        </w:tc>
      </w:tr>
    </w:tbl>
    <w:p w:rsidR="00000000" w:rsidRDefault="00C60F59">
      <w:pPr>
        <w:spacing w:before="120" w:after="280" w:afterAutospacing="1"/>
      </w:pPr>
      <w:r>
        <w:rPr>
          <w:b/>
          <w:bCs/>
        </w:rPr>
        <w:t> </w:t>
      </w:r>
    </w:p>
    <w:sectPr w:rsidR="00000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0F59" w:rsidRDefault="00C60F59" w:rsidP="00C60F59">
      <w:r>
        <w:separator/>
      </w:r>
    </w:p>
  </w:endnote>
  <w:endnote w:type="continuationSeparator" w:id="1">
    <w:p w:rsidR="00C60F59" w:rsidRDefault="00C60F59" w:rsidP="00C60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F59" w:rsidRDefault="00C60F5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F59" w:rsidRPr="00C60F59" w:rsidRDefault="00C60F59">
    <w:pPr>
      <w:pStyle w:val="Footer"/>
      <w:rPr>
        <w:b/>
        <w:color w:val="FF0000"/>
        <w:sz w:val="36"/>
      </w:rPr>
    </w:pPr>
    <w:r>
      <w:rPr>
        <w:rFonts w:ascii="Arial" w:hAnsi="Arial" w:cs="Arial"/>
        <w:b/>
        <w:noProof/>
        <w:sz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0;margin-top:-5pt;width:79.85pt;height:55pt;z-index:251658240;mso-position-horizontal:absolute;mso-position-horizontal-relative:text;mso-position-vertical:absolute;mso-position-vertical-relative:text">
          <v:imagedata r:id="rId1" o:title="Banner"/>
        </v:shape>
      </w:pict>
    </w:r>
    <w:r>
      <w:rPr>
        <w:rFonts w:ascii="Arial" w:hAnsi="Arial" w:cs="Arial"/>
        <w:b/>
        <w:sz w:val="22"/>
      </w:rPr>
      <w:tab/>
    </w:r>
    <w:r>
      <w:rPr>
        <w:rFonts w:ascii="Arial" w:hAnsi="Arial" w:cs="Arial"/>
        <w:b/>
        <w:color w:val="FF9900"/>
        <w:sz w:val="22"/>
      </w:rPr>
      <w:t xml:space="preserve">LUẬT SƯ TƯ VẤN PHÁP LUẬT 24/7:  </w:t>
    </w:r>
    <w:r>
      <w:rPr>
        <w:b/>
        <w:color w:val="FF0000"/>
        <w:sz w:val="36"/>
      </w:rPr>
      <w:t>1900 6162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F59" w:rsidRDefault="00C60F5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0F59" w:rsidRDefault="00C60F59" w:rsidP="00C60F59">
      <w:r>
        <w:separator/>
      </w:r>
    </w:p>
  </w:footnote>
  <w:footnote w:type="continuationSeparator" w:id="1">
    <w:p w:rsidR="00C60F59" w:rsidRDefault="00C60F59" w:rsidP="00C60F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F59" w:rsidRDefault="00C60F5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F59" w:rsidRPr="00C60F59" w:rsidRDefault="00C60F59">
    <w:pPr>
      <w:pStyle w:val="Header"/>
      <w:rPr>
        <w:rFonts w:ascii="Arial" w:hAnsi="Arial" w:cs="Arial"/>
        <w:color w:val="0000FF"/>
        <w:sz w:val="20"/>
        <w:u w:val="single"/>
      </w:rPr>
    </w:pPr>
    <w:r>
      <w:rPr>
        <w:rFonts w:ascii="Arial" w:hAnsi="Arial" w:cs="Arial"/>
        <w:color w:val="0000FF"/>
        <w:sz w:val="20"/>
        <w:u w:val="single"/>
      </w:rPr>
      <w:t>www.luatminhkhue.vn</w:t>
    </w:r>
    <w:r>
      <w:rPr>
        <w:rFonts w:ascii="Arial" w:hAnsi="Arial" w:cs="Arial"/>
        <w:color w:val="0000FF"/>
        <w:sz w:val="20"/>
      </w:rPr>
      <w:tab/>
    </w:r>
    <w:r>
      <w:rPr>
        <w:rFonts w:ascii="Arial" w:hAnsi="Arial" w:cs="Arial"/>
        <w:color w:val="0000FF"/>
        <w:sz w:val="20"/>
      </w:rPr>
      <w:tab/>
    </w:r>
    <w:r>
      <w:rPr>
        <w:rFonts w:ascii="Arial" w:hAnsi="Arial" w:cs="Arial"/>
        <w:color w:val="0000FF"/>
        <w:sz w:val="20"/>
        <w:u w:val="single"/>
      </w:rPr>
      <w:t>vanban.luatminhkhue.vn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F59" w:rsidRDefault="00C60F5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stylePaneSortMethod w:val="0000"/>
  <w:doNotTrackMoves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0F59"/>
    <w:rsid w:val="00C60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Right/>
    <m:intLim m:val="subSup"/>
    <m:naryLim m:val="undOvr"/>
  </m:mathPr>
  <w:uiCompat97To2003/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semiHidden="0" w:unhideWhenUsed="0" w:qFormat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 Spacing" w:semiHidden="0" w:unhideWhenUsed="0" w:qFormat="1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60F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60F59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C60F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60F5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658</Words>
  <Characters>3757</Characters>
  <Application>Microsoft Office Word</Application>
  <DocSecurity>0</DocSecurity>
  <Lines>31</Lines>
  <Paragraphs>8</Paragraphs>
  <ScaleCrop>false</ScaleCrop>
  <Company>Grizli777</Company>
  <LinksUpToDate>false</LinksUpToDate>
  <CharactersWithSpaces>4407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LMK</cp:lastModifiedBy>
  <cp:revision>2</cp:revision>
  <cp:lastPrinted>1601-01-01T00:00:00Z</cp:lastPrinted>
  <dcterms:created xsi:type="dcterms:W3CDTF">2015-07-09T10:16:00Z</dcterms:created>
  <dcterms:modified xsi:type="dcterms:W3CDTF">2015-07-09T10:16:00Z</dcterms:modified>
</cp:coreProperties>
</file>