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9"/>
        <w:gridCol w:w="6233"/>
      </w:tblGrid>
      <w:tr w:rsidR="004112BC" w:rsidRPr="004112BC" w:rsidTr="004112BC">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bookmarkStart w:id="0" w:name="_GoBack"/>
            <w:bookmarkEnd w:id="0"/>
            <w:r w:rsidRPr="004112BC">
              <w:rPr>
                <w:rFonts w:ascii="Arial" w:hAnsi="Arial" w:cs="Arial"/>
                <w:color w:val="000000"/>
                <w:sz w:val="28"/>
                <w:szCs w:val="28"/>
              </w:rPr>
              <w:t>BỘ TÀI CHÍNH</w:t>
            </w:r>
            <w:r w:rsidRPr="004112BC">
              <w:rPr>
                <w:rFonts w:ascii="MingLiU" w:eastAsia="MingLiU" w:hAnsi="MingLiU" w:cs="MingLiU"/>
                <w:color w:val="000000"/>
                <w:sz w:val="28"/>
                <w:szCs w:val="28"/>
              </w:rPr>
              <w:br/>
            </w:r>
            <w:r w:rsidRPr="004112BC">
              <w:rPr>
                <w:rStyle w:val="Strong"/>
                <w:rFonts w:ascii="Arial" w:hAnsi="Arial" w:cs="Arial"/>
                <w:color w:val="000000"/>
                <w:sz w:val="28"/>
                <w:szCs w:val="28"/>
              </w:rPr>
              <w:t>TỔNG CỤC HẢI QUAN</w:t>
            </w:r>
            <w:r w:rsidRPr="004112BC">
              <w:rPr>
                <w:rFonts w:ascii="Arial" w:hAnsi="Arial" w:cs="Arial"/>
                <w:b/>
                <w:bCs/>
                <w:color w:val="000000"/>
                <w:sz w:val="28"/>
                <w:szCs w:val="28"/>
              </w:rPr>
              <w:br/>
            </w:r>
            <w:r w:rsidRPr="004112BC">
              <w:rPr>
                <w:rStyle w:val="Strong"/>
                <w:rFonts w:ascii="Arial" w:hAnsi="Arial" w:cs="Arial"/>
                <w:color w:val="000000"/>
                <w:sz w:val="28"/>
                <w:szCs w:val="28"/>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Style w:val="Strong"/>
                <w:rFonts w:ascii="Arial" w:hAnsi="Arial" w:cs="Arial"/>
                <w:color w:val="000000"/>
                <w:sz w:val="28"/>
                <w:szCs w:val="28"/>
              </w:rPr>
              <w:t>CỘNG HÒA XÃ HỘI CHỦ NGHĨA VIỆT NAM</w:t>
            </w:r>
            <w:r w:rsidRPr="004112BC">
              <w:rPr>
                <w:rFonts w:ascii="Arial" w:hAnsi="Arial" w:cs="Arial"/>
                <w:b/>
                <w:bCs/>
                <w:color w:val="000000"/>
                <w:sz w:val="28"/>
                <w:szCs w:val="28"/>
              </w:rPr>
              <w:br/>
            </w:r>
            <w:r w:rsidRPr="004112BC">
              <w:rPr>
                <w:rStyle w:val="Strong"/>
                <w:rFonts w:ascii="Arial" w:hAnsi="Arial" w:cs="Arial"/>
                <w:color w:val="000000"/>
                <w:sz w:val="28"/>
                <w:szCs w:val="28"/>
              </w:rPr>
              <w:t>Độc lập - Tự do - Hạnh phúc </w:t>
            </w:r>
            <w:r w:rsidRPr="004112BC">
              <w:rPr>
                <w:rFonts w:ascii="Arial" w:hAnsi="Arial" w:cs="Arial"/>
                <w:b/>
                <w:bCs/>
                <w:color w:val="000000"/>
                <w:sz w:val="28"/>
                <w:szCs w:val="28"/>
              </w:rPr>
              <w:br/>
            </w:r>
            <w:r w:rsidRPr="004112BC">
              <w:rPr>
                <w:rStyle w:val="Strong"/>
                <w:rFonts w:ascii="Arial" w:hAnsi="Arial" w:cs="Arial"/>
                <w:color w:val="000000"/>
                <w:sz w:val="28"/>
                <w:szCs w:val="28"/>
              </w:rPr>
              <w:t>---------------</w:t>
            </w:r>
          </w:p>
        </w:tc>
      </w:tr>
      <w:tr w:rsidR="004112BC" w:rsidRPr="004112BC" w:rsidTr="004112BC">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Số: 8678/TCHQ-TXNK</w:t>
            </w:r>
            <w:r w:rsidRPr="004112BC">
              <w:rPr>
                <w:rFonts w:ascii="MingLiU" w:eastAsia="MingLiU" w:hAnsi="MingLiU" w:cs="MingLiU"/>
                <w:color w:val="000000"/>
                <w:sz w:val="28"/>
                <w:szCs w:val="28"/>
              </w:rPr>
              <w:br/>
            </w:r>
            <w:r w:rsidRPr="004112BC">
              <w:rPr>
                <w:rStyle w:val="Emphasis"/>
                <w:rFonts w:ascii="Arial" w:hAnsi="Arial" w:cs="Arial"/>
                <w:color w:val="000000"/>
                <w:sz w:val="28"/>
                <w:szCs w:val="28"/>
              </w:rPr>
              <w:t>V/v danh sách các nước và vùng lãnh thổ đã có thỏa thuận đối xử tối huệ quốc trong quan hệ thương mại với Việt Nam</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right"/>
              <w:rPr>
                <w:rFonts w:ascii="Arial" w:hAnsi="Arial" w:cs="Arial"/>
                <w:color w:val="000000"/>
                <w:sz w:val="28"/>
                <w:szCs w:val="28"/>
              </w:rPr>
            </w:pPr>
            <w:r w:rsidRPr="004112BC">
              <w:rPr>
                <w:rStyle w:val="Emphasis"/>
                <w:rFonts w:ascii="Arial" w:hAnsi="Arial" w:cs="Arial"/>
                <w:color w:val="000000"/>
                <w:sz w:val="28"/>
                <w:szCs w:val="28"/>
              </w:rPr>
              <w:t>Hà Nội, ngày 09 tháng 9 năm 2016</w:t>
            </w:r>
          </w:p>
        </w:tc>
      </w:tr>
    </w:tbl>
    <w:p w:rsidR="004112BC" w:rsidRPr="004112BC" w:rsidRDefault="004112BC" w:rsidP="004112BC">
      <w:pPr>
        <w:pStyle w:val="NormalWeb"/>
        <w:spacing w:after="90" w:afterAutospacing="0" w:line="345" w:lineRule="atLeast"/>
        <w:rPr>
          <w:rFonts w:ascii="Arial" w:eastAsia="Calibri" w:hAnsi="Arial" w:cs="Arial"/>
          <w:color w:val="333333"/>
          <w:sz w:val="28"/>
          <w:szCs w:val="28"/>
        </w:rPr>
      </w:pPr>
    </w:p>
    <w:p w:rsidR="004112BC" w:rsidRPr="004112BC" w:rsidRDefault="004112BC" w:rsidP="004112BC">
      <w:pPr>
        <w:pStyle w:val="NormalWeb"/>
        <w:spacing w:after="90" w:afterAutospacing="0" w:line="345" w:lineRule="atLeast"/>
        <w:jc w:val="center"/>
        <w:rPr>
          <w:rFonts w:ascii="Arial" w:hAnsi="Arial" w:cs="Arial"/>
          <w:color w:val="333333"/>
          <w:sz w:val="28"/>
          <w:szCs w:val="28"/>
        </w:rPr>
      </w:pPr>
      <w:r w:rsidRPr="004112BC">
        <w:rPr>
          <w:rStyle w:val="Strong"/>
          <w:rFonts w:ascii="Arial" w:hAnsi="Arial" w:cs="Arial"/>
          <w:color w:val="333333"/>
          <w:sz w:val="28"/>
          <w:szCs w:val="28"/>
        </w:rPr>
        <w:t>Kính gửi:</w:t>
      </w:r>
      <w:r w:rsidRPr="004112BC">
        <w:rPr>
          <w:rFonts w:ascii="Arial" w:hAnsi="Arial" w:cs="Arial"/>
          <w:color w:val="333333"/>
          <w:sz w:val="28"/>
          <w:szCs w:val="28"/>
        </w:rPr>
        <w:t> Các Cục Hải quan tỉnh, thành phố.</w:t>
      </w:r>
    </w:p>
    <w:p w:rsidR="004112BC" w:rsidRPr="004112BC" w:rsidRDefault="004112BC" w:rsidP="004112BC">
      <w:pPr>
        <w:pStyle w:val="NormalWeb"/>
        <w:spacing w:after="90" w:afterAutospacing="0" w:line="345" w:lineRule="atLeast"/>
        <w:rPr>
          <w:rFonts w:ascii="Arial" w:hAnsi="Arial" w:cs="Arial"/>
          <w:color w:val="333333"/>
          <w:sz w:val="28"/>
          <w:szCs w:val="28"/>
        </w:rPr>
      </w:pPr>
      <w:r w:rsidRPr="004112BC">
        <w:rPr>
          <w:rFonts w:ascii="Arial" w:hAnsi="Arial" w:cs="Arial"/>
          <w:color w:val="333333"/>
          <w:sz w:val="28"/>
          <w:szCs w:val="28"/>
        </w:rPr>
        <w:t>Để hỗ trợ và xử lý kịp thời các vướng mắc phát sinh của doanh nghiệp và Cục Hải quan các tỉnh, thành phố phản ánh trong quá trình triển khai thực hiện Luật thuế xuất khẩu, thuế nhập khẩu số 107/2016/QH13, công văn số 12167/BTC-TCHQ ngày 31/8/2016 của Bộ Tài chính về việc triển khai thực hiện các quy định của Luật thuế xuất khẩu, thuế nhập khẩu, Tổng cục Hải quan thông báo danh sách các nước và vùng lãnh thổ đã có thỏa thuận đối xử tối huệ quốc trong quan hệ thương mại với Việt Nam áp dụng đối với trường hợp quy định tại điểm a khoản 3 Điều 5 </w:t>
      </w:r>
      <w:hyperlink r:id="rId8" w:history="1">
        <w:r w:rsidRPr="004112BC">
          <w:rPr>
            <w:rStyle w:val="Hyperlink"/>
            <w:rFonts w:ascii="Arial" w:hAnsi="Arial" w:cs="Arial"/>
            <w:color w:val="0782C1"/>
            <w:sz w:val="28"/>
            <w:szCs w:val="28"/>
          </w:rPr>
          <w:t>Luật thuế xuất khẩu, thuế nhập khẩu</w:t>
        </w:r>
      </w:hyperlink>
      <w:r w:rsidRPr="004112BC">
        <w:rPr>
          <w:rFonts w:ascii="Arial" w:hAnsi="Arial" w:cs="Arial"/>
          <w:color w:val="333333"/>
          <w:sz w:val="28"/>
          <w:szCs w:val="28"/>
        </w:rPr>
        <w:t> tại Phụ lục kèm theo. Danh sách này đã được cập nhật trên Hệ thống VNACCS/VCIS và website của Tổng cục Hải quan.</w:t>
      </w:r>
    </w:p>
    <w:p w:rsidR="004112BC" w:rsidRPr="004112BC" w:rsidRDefault="004112BC" w:rsidP="004112BC">
      <w:pPr>
        <w:pStyle w:val="NormalWeb"/>
        <w:spacing w:after="90" w:afterAutospacing="0" w:line="345" w:lineRule="atLeast"/>
        <w:rPr>
          <w:rFonts w:ascii="Arial" w:hAnsi="Arial" w:cs="Arial"/>
          <w:color w:val="333333"/>
          <w:sz w:val="28"/>
          <w:szCs w:val="28"/>
        </w:rPr>
      </w:pPr>
      <w:r w:rsidRPr="004112BC">
        <w:rPr>
          <w:rFonts w:ascii="Arial" w:hAnsi="Arial" w:cs="Arial"/>
          <w:color w:val="333333"/>
          <w:sz w:val="28"/>
          <w:szCs w:val="28"/>
        </w:rPr>
        <w:t>Đề nghị các Cục Hải quan tỉnh, thành phố thông báo, tuyên truyền và hướng dẫn doanh nghiệp thực hiện./.</w:t>
      </w:r>
    </w:p>
    <w:p w:rsidR="004112BC" w:rsidRPr="004112BC" w:rsidRDefault="004112BC" w:rsidP="004112BC">
      <w:pPr>
        <w:pStyle w:val="NormalWeb"/>
        <w:spacing w:after="90" w:afterAutospacing="0" w:line="345" w:lineRule="atLeast"/>
        <w:rPr>
          <w:rFonts w:ascii="Arial" w:hAnsi="Arial" w:cs="Arial"/>
          <w:color w:val="333333"/>
          <w:sz w:val="28"/>
          <w:szCs w:val="28"/>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112BC" w:rsidRPr="004112BC" w:rsidTr="004112BC">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p>
          <w:p w:rsidR="004112BC" w:rsidRPr="004112BC" w:rsidRDefault="004112BC">
            <w:pPr>
              <w:pStyle w:val="NormalWeb"/>
              <w:spacing w:after="90" w:afterAutospacing="0" w:line="345" w:lineRule="atLeast"/>
              <w:rPr>
                <w:rFonts w:ascii="Arial" w:hAnsi="Arial" w:cs="Arial"/>
                <w:color w:val="000000"/>
                <w:sz w:val="28"/>
                <w:szCs w:val="28"/>
              </w:rPr>
            </w:pPr>
            <w:r w:rsidRPr="004112BC">
              <w:rPr>
                <w:rStyle w:val="Emphasis"/>
                <w:rFonts w:ascii="Arial" w:hAnsi="Arial" w:cs="Arial"/>
                <w:b/>
                <w:bCs/>
                <w:color w:val="000000"/>
                <w:sz w:val="28"/>
                <w:szCs w:val="28"/>
              </w:rPr>
              <w:t>Nơi nhận:</w:t>
            </w:r>
            <w:r w:rsidRPr="004112BC">
              <w:rPr>
                <w:rFonts w:ascii="Arial" w:hAnsi="Arial" w:cs="Arial"/>
                <w:color w:val="000000"/>
                <w:sz w:val="28"/>
                <w:szCs w:val="28"/>
              </w:rPr>
              <w:br/>
              <w:t>- Như trên;</w:t>
            </w:r>
            <w:r w:rsidRPr="004112BC">
              <w:rPr>
                <w:rFonts w:ascii="MingLiU" w:eastAsia="MingLiU" w:hAnsi="MingLiU" w:cs="MingLiU"/>
                <w:color w:val="000000"/>
                <w:sz w:val="28"/>
                <w:szCs w:val="28"/>
              </w:rPr>
              <w:br/>
            </w:r>
            <w:r w:rsidRPr="004112BC">
              <w:rPr>
                <w:rFonts w:ascii="Arial" w:hAnsi="Arial" w:cs="Arial"/>
                <w:color w:val="000000"/>
                <w:sz w:val="28"/>
                <w:szCs w:val="28"/>
              </w:rPr>
              <w:t>- TT Đỗ Hoàng Anh Tuấn (để b/c);</w:t>
            </w:r>
            <w:r w:rsidRPr="004112BC">
              <w:rPr>
                <w:rFonts w:ascii="MingLiU" w:eastAsia="MingLiU" w:hAnsi="MingLiU" w:cs="MingLiU"/>
                <w:color w:val="000000"/>
                <w:sz w:val="28"/>
                <w:szCs w:val="28"/>
              </w:rPr>
              <w:br/>
            </w:r>
            <w:r w:rsidRPr="004112BC">
              <w:rPr>
                <w:rFonts w:ascii="Arial" w:hAnsi="Arial" w:cs="Arial"/>
                <w:color w:val="000000"/>
                <w:sz w:val="28"/>
                <w:szCs w:val="28"/>
              </w:rPr>
              <w:t>- Vụ Chính sách thuế, Vụ Hợp tác quốc tế - BTC (để phối hợp);</w:t>
            </w:r>
            <w:r w:rsidRPr="004112BC">
              <w:rPr>
                <w:rFonts w:ascii="Arial" w:hAnsi="Arial" w:cs="Arial"/>
                <w:color w:val="000000"/>
                <w:sz w:val="28"/>
                <w:szCs w:val="28"/>
              </w:rPr>
              <w:br/>
              <w:t>- Lưu: VT, TXNK (3b).</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Style w:val="Strong"/>
                <w:rFonts w:ascii="Arial" w:hAnsi="Arial" w:cs="Arial"/>
                <w:color w:val="000000"/>
                <w:sz w:val="28"/>
                <w:szCs w:val="28"/>
              </w:rPr>
              <w:t>KT. TỔNG CỤC TRƯỞNG</w:t>
            </w:r>
            <w:r w:rsidRPr="004112BC">
              <w:rPr>
                <w:rFonts w:ascii="Arial" w:hAnsi="Arial" w:cs="Arial"/>
                <w:b/>
                <w:bCs/>
                <w:color w:val="000000"/>
                <w:sz w:val="28"/>
                <w:szCs w:val="28"/>
              </w:rPr>
              <w:br/>
            </w:r>
            <w:r w:rsidRPr="004112BC">
              <w:rPr>
                <w:rStyle w:val="Strong"/>
                <w:rFonts w:ascii="Arial" w:hAnsi="Arial" w:cs="Arial"/>
                <w:color w:val="000000"/>
                <w:sz w:val="28"/>
                <w:szCs w:val="28"/>
              </w:rPr>
              <w:t>PHÓ TỔNG CỤC TRƯỞNG</w:t>
            </w:r>
            <w:r w:rsidRPr="004112BC">
              <w:rPr>
                <w:rFonts w:ascii="Arial" w:hAnsi="Arial" w:cs="Arial"/>
                <w:b/>
                <w:bCs/>
                <w:color w:val="000000"/>
                <w:sz w:val="28"/>
                <w:szCs w:val="28"/>
              </w:rPr>
              <w:br/>
            </w:r>
            <w:r w:rsidRPr="004112BC">
              <w:rPr>
                <w:rFonts w:ascii="Arial" w:hAnsi="Arial" w:cs="Arial"/>
                <w:b/>
                <w:bCs/>
                <w:color w:val="000000"/>
                <w:sz w:val="28"/>
                <w:szCs w:val="28"/>
              </w:rPr>
              <w:br/>
            </w:r>
            <w:r w:rsidRPr="004112BC">
              <w:rPr>
                <w:rFonts w:ascii="Arial" w:hAnsi="Arial" w:cs="Arial"/>
                <w:b/>
                <w:bCs/>
                <w:color w:val="000000"/>
                <w:sz w:val="28"/>
                <w:szCs w:val="28"/>
              </w:rPr>
              <w:br/>
            </w:r>
            <w:r w:rsidRPr="004112BC">
              <w:rPr>
                <w:rFonts w:ascii="Arial" w:hAnsi="Arial" w:cs="Arial"/>
                <w:b/>
                <w:bCs/>
                <w:color w:val="000000"/>
                <w:sz w:val="28"/>
                <w:szCs w:val="28"/>
              </w:rPr>
              <w:br/>
            </w:r>
            <w:r w:rsidRPr="004112BC">
              <w:rPr>
                <w:rFonts w:ascii="Arial" w:hAnsi="Arial" w:cs="Arial"/>
                <w:b/>
                <w:bCs/>
                <w:color w:val="000000"/>
                <w:sz w:val="28"/>
                <w:szCs w:val="28"/>
              </w:rPr>
              <w:br/>
            </w:r>
            <w:r w:rsidRPr="004112BC">
              <w:rPr>
                <w:rStyle w:val="Strong"/>
                <w:rFonts w:ascii="Arial" w:hAnsi="Arial" w:cs="Arial"/>
                <w:color w:val="000000"/>
                <w:sz w:val="28"/>
                <w:szCs w:val="28"/>
              </w:rPr>
              <w:t>Nguyễn Dương Thái</w:t>
            </w:r>
          </w:p>
        </w:tc>
      </w:tr>
    </w:tbl>
    <w:p w:rsidR="004112BC" w:rsidRPr="004112BC" w:rsidRDefault="004112BC" w:rsidP="004112BC">
      <w:pPr>
        <w:pStyle w:val="NormalWeb"/>
        <w:spacing w:after="90" w:afterAutospacing="0" w:line="345" w:lineRule="atLeast"/>
        <w:rPr>
          <w:rFonts w:ascii="Arial" w:eastAsia="Calibri" w:hAnsi="Arial" w:cs="Arial"/>
          <w:color w:val="333333"/>
          <w:sz w:val="28"/>
          <w:szCs w:val="28"/>
        </w:rPr>
      </w:pPr>
    </w:p>
    <w:p w:rsidR="004112BC" w:rsidRPr="004112BC" w:rsidRDefault="004112BC" w:rsidP="004112BC">
      <w:pPr>
        <w:pStyle w:val="NormalWeb"/>
        <w:spacing w:after="90" w:afterAutospacing="0" w:line="345" w:lineRule="atLeast"/>
        <w:jc w:val="center"/>
        <w:rPr>
          <w:rFonts w:ascii="Arial" w:hAnsi="Arial" w:cs="Arial"/>
          <w:color w:val="333333"/>
          <w:sz w:val="28"/>
          <w:szCs w:val="28"/>
        </w:rPr>
      </w:pPr>
      <w:r w:rsidRPr="004112BC">
        <w:rPr>
          <w:rStyle w:val="Strong"/>
          <w:rFonts w:ascii="Arial" w:hAnsi="Arial" w:cs="Arial"/>
          <w:color w:val="333333"/>
          <w:sz w:val="28"/>
          <w:szCs w:val="28"/>
        </w:rPr>
        <w:t>PHỤ LỤC</w:t>
      </w:r>
    </w:p>
    <w:p w:rsidR="004112BC" w:rsidRPr="004112BC" w:rsidRDefault="004112BC" w:rsidP="004112BC">
      <w:pPr>
        <w:pStyle w:val="NormalWeb"/>
        <w:spacing w:after="90" w:afterAutospacing="0" w:line="345" w:lineRule="atLeast"/>
        <w:jc w:val="center"/>
        <w:rPr>
          <w:rFonts w:ascii="Arial" w:hAnsi="Arial" w:cs="Arial"/>
          <w:color w:val="333333"/>
          <w:sz w:val="28"/>
          <w:szCs w:val="28"/>
        </w:rPr>
      </w:pPr>
      <w:r w:rsidRPr="004112BC">
        <w:rPr>
          <w:rFonts w:ascii="Arial" w:hAnsi="Arial" w:cs="Arial"/>
          <w:color w:val="333333"/>
          <w:sz w:val="28"/>
          <w:szCs w:val="28"/>
        </w:rPr>
        <w:t>DANH SÁCH CÁC NƯỚC VÀ VÙNG LÃNH THỔ CÓ THỎA THUẬN ĐỐI XỬ TỐI HUỆ QUỐC TRONG QUAN HỆ THƯƠNG MẠI VỚI VIỆT NAM</w:t>
      </w:r>
      <w:r w:rsidRPr="004112BC">
        <w:rPr>
          <w:rFonts w:ascii="MingLiU" w:eastAsia="MingLiU" w:hAnsi="MingLiU" w:cs="MingLiU"/>
          <w:color w:val="333333"/>
          <w:sz w:val="28"/>
          <w:szCs w:val="28"/>
        </w:rPr>
        <w:br/>
      </w:r>
      <w:r w:rsidRPr="004112BC">
        <w:rPr>
          <w:rStyle w:val="Emphasis"/>
          <w:rFonts w:ascii="Arial" w:hAnsi="Arial" w:cs="Arial"/>
          <w:color w:val="333333"/>
          <w:sz w:val="28"/>
          <w:szCs w:val="28"/>
        </w:rPr>
        <w:t>(Kèm theo công văn số 8678/TCHQ-TXNK ngày 09/9/2016 của Tổng cục Hải quan)</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27"/>
        <w:gridCol w:w="3669"/>
        <w:gridCol w:w="1028"/>
        <w:gridCol w:w="3666"/>
      </w:tblGrid>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Style w:val="Strong"/>
                <w:rFonts w:ascii="Arial" w:hAnsi="Arial" w:cs="Arial"/>
                <w:color w:val="000000"/>
                <w:sz w:val="28"/>
                <w:szCs w:val="28"/>
              </w:rPr>
              <w:t>STT</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Style w:val="Strong"/>
                <w:rFonts w:ascii="Arial" w:hAnsi="Arial" w:cs="Arial"/>
                <w:color w:val="000000"/>
                <w:sz w:val="28"/>
                <w:szCs w:val="28"/>
              </w:rPr>
              <w:t>Tên nước/Vùng lãnh thổ</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Style w:val="Strong"/>
                <w:rFonts w:ascii="Arial" w:hAnsi="Arial" w:cs="Arial"/>
                <w:color w:val="000000"/>
                <w:sz w:val="28"/>
                <w:szCs w:val="28"/>
              </w:rPr>
              <w:t>STT</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Style w:val="Strong"/>
                <w:rFonts w:ascii="Arial" w:hAnsi="Arial" w:cs="Arial"/>
                <w:color w:val="000000"/>
                <w:sz w:val="28"/>
                <w:szCs w:val="28"/>
              </w:rPr>
              <w:t>Tên nước/Vùng lãnh thổ</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Albania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Hồi giáo Pakistan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nhân dân Angola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Panama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Antigua và Barbuda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Papua New Guinea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Argentina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Paraguay</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Armenia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Peru</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Liên bang Australia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Philippines</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Bahrain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Qatar</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nhân dân Bangladesh</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Rwanda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Barbados</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Liên bang Saint Kitts và Nevis</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Belize</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Saint Lucia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Bénin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Saint Vincent và Grenadines</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Bolivia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99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Ả Rập Saudi</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Botswana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Sénégal</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liên bang Brasil</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Sierra Leone</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Darussalam Brunei</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Singapore</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Burkina Faso</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Quần đảo Solomon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Burundi</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Nam Phi</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Campuchia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dân chủ xã hội chủ nghĩa Sri Lanka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lastRenderedPageBreak/>
              <w:t>19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Cameroon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Suriname</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Canada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Swaziland</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Trung Phi</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Liên bang Thụy Sĩ</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Tchad</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109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Trung Hoa Đài Bắc</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Chile</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thống nhất Tanzania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nhân dân Trung Hoa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Thái Lan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Colombia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Togo</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Congo</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Trinidad và Tobago</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Costa Rica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Tunisia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Bờ Biển Ngà</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Thổ Nhĩ Kỳ</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29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Croatia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Uganda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Cuba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Các Tiểu Vương quốc Ả Rập Thống nhất</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Dân chủ Congo</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Hợp chủng quốc Hoa Kỳ</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Djibouti</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119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Uruguay</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Dominica (đảo quốc)</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Venezuela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Dominicana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Zambia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Ecuador</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Zimbabwe</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Ả rập Ai Cập</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Ailen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El Salvador</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Liên hiệp Vương quốc Anh và Bắc Ailen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đồng châu Âu (27 quốc gia)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Áo</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39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các đảo Fiji</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Ba Lan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Macedonia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Bỉ</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Gabon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Bồ Đào Nha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lastRenderedPageBreak/>
              <w:t>42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Gambia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129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Đan Mạch</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Gruzia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liên bang Đức</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Ghana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Estonia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Grenada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Hà Lan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Guatemala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Hungary</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Guinée</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Hy Lạp</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Guiné</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Italia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49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Guyana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Latvia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Haiti</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Litva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Honduras</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Đại công quốc Lúc xăm bua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Đặc khu kinh tế Hồng Kông</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139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Manta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Iceland</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Pháp</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Ấn Độ</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Phần Lan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Indonesia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Séc</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Israel</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Síp</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Jamaica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Slovakia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Nhật Bản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Slovenia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59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Jordan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Tây Ban Nha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Kenya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Thụy Điển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Đại Hàn Dân Quốc</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Bungary</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Kuwait</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149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Rumani</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Kyrgyzstan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Afghanistan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Lesotho</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Montenegro</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Công quốc Liechtenstein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Samoa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Đặc khu hành chính Macau</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Tonga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Madagascar</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Vanuatu</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Malawi</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Yemen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69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Malaysia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Ukraine</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Maldives</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Tajikistan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Mali</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Seychelles</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Hồi giáo Mauritania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159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Russian Federation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Mauritius</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Liberia</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Mexico</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Laos</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Moldova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Kazakhstan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nhân dân Mông Cổ</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Cabo Verde</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Maroc</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Angiêri</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Mozambique</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Belarus</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79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Liên bang Myanma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Hồi giáo I ran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Namibia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I rắc</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Nepal</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168</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Li băng</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New Zealand</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169</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Palestin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83</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Nicaragua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170</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dân chủ nhân dân Triều Tiên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84</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Niger</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171</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Uzbêkistan</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85</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liên bang Nigeria</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172</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Cộng hòa Ả rập Xyri</w:t>
            </w: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86</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Na Uy</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p>
        </w:tc>
      </w:tr>
      <w:tr w:rsidR="004112BC" w:rsidRPr="004112BC" w:rsidTr="004112BC">
        <w:trPr>
          <w:tblCellSpacing w:w="0" w:type="dxa"/>
        </w:trPr>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r w:rsidRPr="004112BC">
              <w:rPr>
                <w:rFonts w:ascii="Arial" w:hAnsi="Arial" w:cs="Arial"/>
                <w:color w:val="000000"/>
                <w:sz w:val="28"/>
                <w:szCs w:val="28"/>
              </w:rPr>
              <w:t>87</w:t>
            </w: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r w:rsidRPr="004112BC">
              <w:rPr>
                <w:rFonts w:ascii="Arial" w:hAnsi="Arial" w:cs="Arial"/>
                <w:color w:val="000000"/>
                <w:sz w:val="28"/>
                <w:szCs w:val="28"/>
              </w:rPr>
              <w:t>Vương quốc Oman</w:t>
            </w:r>
          </w:p>
        </w:tc>
        <w:tc>
          <w:tcPr>
            <w:tcW w:w="1038"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jc w:val="center"/>
              <w:rPr>
                <w:rFonts w:ascii="Arial" w:hAnsi="Arial" w:cs="Arial"/>
                <w:color w:val="000000"/>
                <w:sz w:val="28"/>
                <w:szCs w:val="28"/>
              </w:rPr>
            </w:pPr>
          </w:p>
        </w:tc>
        <w:tc>
          <w:tcPr>
            <w:tcW w:w="3712" w:type="dxa"/>
            <w:tcBorders>
              <w:top w:val="dotted" w:sz="6" w:space="0" w:color="D3D3D3"/>
              <w:left w:val="dotted" w:sz="6" w:space="0" w:color="D3D3D3"/>
              <w:bottom w:val="dotted" w:sz="6" w:space="0" w:color="D3D3D3"/>
              <w:right w:val="dotted" w:sz="6" w:space="0" w:color="D3D3D3"/>
            </w:tcBorders>
            <w:vAlign w:val="center"/>
            <w:hideMark/>
          </w:tcPr>
          <w:p w:rsidR="004112BC" w:rsidRPr="004112BC" w:rsidRDefault="004112BC">
            <w:pPr>
              <w:pStyle w:val="NormalWeb"/>
              <w:spacing w:after="90" w:afterAutospacing="0" w:line="345" w:lineRule="atLeast"/>
              <w:rPr>
                <w:rFonts w:ascii="Arial" w:hAnsi="Arial" w:cs="Arial"/>
                <w:color w:val="000000"/>
                <w:sz w:val="28"/>
                <w:szCs w:val="28"/>
              </w:rPr>
            </w:pPr>
          </w:p>
        </w:tc>
      </w:tr>
    </w:tbl>
    <w:p w:rsidR="00266947" w:rsidRPr="004112BC" w:rsidRDefault="00266947" w:rsidP="004112BC">
      <w:pPr>
        <w:rPr>
          <w:sz w:val="28"/>
          <w:szCs w:val="28"/>
        </w:rPr>
      </w:pPr>
    </w:p>
    <w:sectPr w:rsidR="00266947" w:rsidRPr="004112BC"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73A" w:rsidRDefault="000A373A" w:rsidP="007446EA">
      <w:pPr>
        <w:spacing w:after="0" w:line="240" w:lineRule="auto"/>
      </w:pPr>
      <w:r>
        <w:separator/>
      </w:r>
    </w:p>
  </w:endnote>
  <w:endnote w:type="continuationSeparator" w:id="0">
    <w:p w:rsidR="000A373A" w:rsidRDefault="000A373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92" w:rsidRDefault="00036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83AD0" w:rsidRDefault="00483AD0" w:rsidP="00483AD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92" w:rsidRDefault="00036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73A" w:rsidRDefault="000A373A" w:rsidP="007446EA">
      <w:pPr>
        <w:spacing w:after="0" w:line="240" w:lineRule="auto"/>
      </w:pPr>
      <w:r>
        <w:separator/>
      </w:r>
    </w:p>
  </w:footnote>
  <w:footnote w:type="continuationSeparator" w:id="0">
    <w:p w:rsidR="000A373A" w:rsidRDefault="000A373A"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92" w:rsidRDefault="00036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83AD0" w:rsidRDefault="00483AD0" w:rsidP="00483AD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92" w:rsidRDefault="00036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6"/>
  </w:num>
  <w:num w:numId="4">
    <w:abstractNumId w:val="18"/>
  </w:num>
  <w:num w:numId="5">
    <w:abstractNumId w:val="20"/>
  </w:num>
  <w:num w:numId="6">
    <w:abstractNumId w:val="3"/>
  </w:num>
  <w:num w:numId="7">
    <w:abstractNumId w:val="4"/>
  </w:num>
  <w:num w:numId="8">
    <w:abstractNumId w:val="22"/>
  </w:num>
  <w:num w:numId="9">
    <w:abstractNumId w:val="28"/>
  </w:num>
  <w:num w:numId="10">
    <w:abstractNumId w:val="12"/>
  </w:num>
  <w:num w:numId="11">
    <w:abstractNumId w:val="17"/>
  </w:num>
  <w:num w:numId="12">
    <w:abstractNumId w:val="19"/>
  </w:num>
  <w:num w:numId="13">
    <w:abstractNumId w:val="7"/>
  </w:num>
  <w:num w:numId="14">
    <w:abstractNumId w:val="25"/>
  </w:num>
  <w:num w:numId="15">
    <w:abstractNumId w:val="21"/>
  </w:num>
  <w:num w:numId="16">
    <w:abstractNumId w:val="24"/>
  </w:num>
  <w:num w:numId="17">
    <w:abstractNumId w:val="8"/>
  </w:num>
  <w:num w:numId="18">
    <w:abstractNumId w:val="11"/>
  </w:num>
  <w:num w:numId="19">
    <w:abstractNumId w:val="9"/>
  </w:num>
  <w:num w:numId="20">
    <w:abstractNumId w:val="6"/>
  </w:num>
  <w:num w:numId="21">
    <w:abstractNumId w:val="15"/>
  </w:num>
  <w:num w:numId="22">
    <w:abstractNumId w:val="1"/>
  </w:num>
  <w:num w:numId="23">
    <w:abstractNumId w:val="10"/>
  </w:num>
  <w:num w:numId="24">
    <w:abstractNumId w:val="29"/>
  </w:num>
  <w:num w:numId="25">
    <w:abstractNumId w:val="26"/>
  </w:num>
  <w:num w:numId="26">
    <w:abstractNumId w:val="2"/>
  </w:num>
  <w:num w:numId="27">
    <w:abstractNumId w:val="27"/>
  </w:num>
  <w:num w:numId="28">
    <w:abstractNumId w:val="0"/>
  </w:num>
  <w:num w:numId="29">
    <w:abstractNumId w:val="14"/>
  </w:num>
  <w:num w:numId="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36192"/>
    <w:rsid w:val="00060653"/>
    <w:rsid w:val="00065E4A"/>
    <w:rsid w:val="00071C91"/>
    <w:rsid w:val="0007342F"/>
    <w:rsid w:val="000749B1"/>
    <w:rsid w:val="0008367D"/>
    <w:rsid w:val="00083AB8"/>
    <w:rsid w:val="00087216"/>
    <w:rsid w:val="00091A75"/>
    <w:rsid w:val="00093E42"/>
    <w:rsid w:val="00094C20"/>
    <w:rsid w:val="000A373A"/>
    <w:rsid w:val="000B1EA4"/>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2520"/>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53EDC"/>
    <w:rsid w:val="0036454F"/>
    <w:rsid w:val="00366F09"/>
    <w:rsid w:val="00374CB0"/>
    <w:rsid w:val="00376902"/>
    <w:rsid w:val="003836E2"/>
    <w:rsid w:val="003A4326"/>
    <w:rsid w:val="003A73F7"/>
    <w:rsid w:val="003B2CE2"/>
    <w:rsid w:val="003B6EF4"/>
    <w:rsid w:val="003C01DF"/>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61191"/>
    <w:rsid w:val="00471FF6"/>
    <w:rsid w:val="00480C6E"/>
    <w:rsid w:val="00482ECD"/>
    <w:rsid w:val="00483AD0"/>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33976"/>
    <w:rsid w:val="0054068B"/>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40271"/>
    <w:rsid w:val="006430D5"/>
    <w:rsid w:val="00644360"/>
    <w:rsid w:val="0064490B"/>
    <w:rsid w:val="00647212"/>
    <w:rsid w:val="00647B4B"/>
    <w:rsid w:val="00657BA1"/>
    <w:rsid w:val="006613CF"/>
    <w:rsid w:val="00667F86"/>
    <w:rsid w:val="00674179"/>
    <w:rsid w:val="00674D23"/>
    <w:rsid w:val="00675E27"/>
    <w:rsid w:val="00680293"/>
    <w:rsid w:val="00682554"/>
    <w:rsid w:val="00687C84"/>
    <w:rsid w:val="0069033A"/>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446EA"/>
    <w:rsid w:val="00746BFF"/>
    <w:rsid w:val="0074733D"/>
    <w:rsid w:val="0075366E"/>
    <w:rsid w:val="007536AF"/>
    <w:rsid w:val="00757E2D"/>
    <w:rsid w:val="007604A8"/>
    <w:rsid w:val="0076507C"/>
    <w:rsid w:val="00770BA3"/>
    <w:rsid w:val="007722FA"/>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7750"/>
    <w:rsid w:val="0081472B"/>
    <w:rsid w:val="008178B8"/>
    <w:rsid w:val="00823688"/>
    <w:rsid w:val="00831FB4"/>
    <w:rsid w:val="008323AF"/>
    <w:rsid w:val="00840C95"/>
    <w:rsid w:val="0084368F"/>
    <w:rsid w:val="00843ABF"/>
    <w:rsid w:val="00852640"/>
    <w:rsid w:val="00862C8F"/>
    <w:rsid w:val="00864A91"/>
    <w:rsid w:val="008662C6"/>
    <w:rsid w:val="008744ED"/>
    <w:rsid w:val="0087635F"/>
    <w:rsid w:val="00876FD6"/>
    <w:rsid w:val="00877653"/>
    <w:rsid w:val="00885E0D"/>
    <w:rsid w:val="00892EF7"/>
    <w:rsid w:val="0089486E"/>
    <w:rsid w:val="008950F4"/>
    <w:rsid w:val="008B09DD"/>
    <w:rsid w:val="008C2DCD"/>
    <w:rsid w:val="008C5AFC"/>
    <w:rsid w:val="008C6DE0"/>
    <w:rsid w:val="008D6F0B"/>
    <w:rsid w:val="008E2694"/>
    <w:rsid w:val="008F5B5A"/>
    <w:rsid w:val="00904222"/>
    <w:rsid w:val="009102C1"/>
    <w:rsid w:val="00913B46"/>
    <w:rsid w:val="0091693E"/>
    <w:rsid w:val="00917E6F"/>
    <w:rsid w:val="00930B2B"/>
    <w:rsid w:val="009377C3"/>
    <w:rsid w:val="009456E5"/>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5E74"/>
    <w:rsid w:val="009874E5"/>
    <w:rsid w:val="009A03C6"/>
    <w:rsid w:val="009A4A6F"/>
    <w:rsid w:val="009A700C"/>
    <w:rsid w:val="009A7A4A"/>
    <w:rsid w:val="009B02A5"/>
    <w:rsid w:val="009B072C"/>
    <w:rsid w:val="009B521D"/>
    <w:rsid w:val="009C3C34"/>
    <w:rsid w:val="009D5B1A"/>
    <w:rsid w:val="009D7EB6"/>
    <w:rsid w:val="009E148D"/>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B58"/>
    <w:rsid w:val="00AB1DEF"/>
    <w:rsid w:val="00AB4D8E"/>
    <w:rsid w:val="00AB78BC"/>
    <w:rsid w:val="00AC03F5"/>
    <w:rsid w:val="00AC07C4"/>
    <w:rsid w:val="00AC2F6E"/>
    <w:rsid w:val="00AC5762"/>
    <w:rsid w:val="00AD20E2"/>
    <w:rsid w:val="00AD314E"/>
    <w:rsid w:val="00AE017E"/>
    <w:rsid w:val="00AE13D8"/>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49"/>
    <w:rsid w:val="00B96267"/>
    <w:rsid w:val="00BB07CF"/>
    <w:rsid w:val="00BC240B"/>
    <w:rsid w:val="00BC5FB2"/>
    <w:rsid w:val="00BF076F"/>
    <w:rsid w:val="00BF2F30"/>
    <w:rsid w:val="00BF3B0C"/>
    <w:rsid w:val="00C05907"/>
    <w:rsid w:val="00C07041"/>
    <w:rsid w:val="00C2072B"/>
    <w:rsid w:val="00C25B1C"/>
    <w:rsid w:val="00C478D9"/>
    <w:rsid w:val="00C47C68"/>
    <w:rsid w:val="00C502AE"/>
    <w:rsid w:val="00C57753"/>
    <w:rsid w:val="00C72860"/>
    <w:rsid w:val="00C80136"/>
    <w:rsid w:val="00C8419B"/>
    <w:rsid w:val="00C92B22"/>
    <w:rsid w:val="00C93244"/>
    <w:rsid w:val="00C94CBB"/>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15EB1"/>
    <w:rsid w:val="00E21665"/>
    <w:rsid w:val="00E265E0"/>
    <w:rsid w:val="00E330B0"/>
    <w:rsid w:val="00E33BC3"/>
    <w:rsid w:val="00E3688A"/>
    <w:rsid w:val="00E401FB"/>
    <w:rsid w:val="00E43730"/>
    <w:rsid w:val="00E43AB6"/>
    <w:rsid w:val="00E461B1"/>
    <w:rsid w:val="00E57732"/>
    <w:rsid w:val="00E72CF3"/>
    <w:rsid w:val="00E73912"/>
    <w:rsid w:val="00E76EB0"/>
    <w:rsid w:val="00E81D35"/>
    <w:rsid w:val="00E87320"/>
    <w:rsid w:val="00E87B1E"/>
    <w:rsid w:val="00E93DF7"/>
    <w:rsid w:val="00EA0340"/>
    <w:rsid w:val="00EA0B25"/>
    <w:rsid w:val="00EA4015"/>
    <w:rsid w:val="00EA5A2C"/>
    <w:rsid w:val="00EA5CDA"/>
    <w:rsid w:val="00EA63E2"/>
    <w:rsid w:val="00EB0C39"/>
    <w:rsid w:val="00EC2D51"/>
    <w:rsid w:val="00ED00EC"/>
    <w:rsid w:val="00ED16D6"/>
    <w:rsid w:val="00ED2E9A"/>
    <w:rsid w:val="00ED3BA5"/>
    <w:rsid w:val="00EE0BF9"/>
    <w:rsid w:val="00EF152B"/>
    <w:rsid w:val="00EF6C7B"/>
    <w:rsid w:val="00F0455D"/>
    <w:rsid w:val="00F06F65"/>
    <w:rsid w:val="00F07230"/>
    <w:rsid w:val="00F10262"/>
    <w:rsid w:val="00F12D11"/>
    <w:rsid w:val="00F15B6B"/>
    <w:rsid w:val="00F16380"/>
    <w:rsid w:val="00F16BB5"/>
    <w:rsid w:val="00F17699"/>
    <w:rsid w:val="00F2307B"/>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luat-thue-xuat-khau--thue-nhap-khau-so-45-2005-qh11.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282</cp:revision>
  <dcterms:created xsi:type="dcterms:W3CDTF">2015-09-25T00:33:00Z</dcterms:created>
  <dcterms:modified xsi:type="dcterms:W3CDTF">2020-05-18T03:26:00Z</dcterms:modified>
</cp:coreProperties>
</file>