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1"/>
        <w:gridCol w:w="8919"/>
      </w:tblGrid>
      <w:tr w:rsidR="006B6306" w:rsidTr="006B6306">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6B6306" w:rsidRDefault="006B6306">
            <w:pPr>
              <w:pStyle w:val="NormalWeb"/>
              <w:spacing w:after="90" w:afterAutospacing="0" w:line="345" w:lineRule="atLeast"/>
              <w:jc w:val="center"/>
              <w:rPr>
                <w:rFonts w:ascii="Arial" w:hAnsi="Arial" w:cs="Arial"/>
                <w:color w:val="000000"/>
                <w:sz w:val="18"/>
                <w:szCs w:val="18"/>
              </w:rPr>
            </w:pPr>
            <w:bookmarkStart w:id="0" w:name="_GoBack"/>
            <w:bookmarkEnd w:id="0"/>
            <w:r>
              <w:rPr>
                <w:rStyle w:val="Strong"/>
                <w:rFonts w:ascii="Arial" w:hAnsi="Arial" w:cs="Arial"/>
                <w:color w:val="000000"/>
                <w:sz w:val="18"/>
                <w:szCs w:val="18"/>
              </w:rPr>
              <w:t>BỘ Y TẾ</w:t>
            </w:r>
            <w:r>
              <w:rPr>
                <w:rFonts w:ascii="Arial" w:hAnsi="Arial" w:cs="Arial"/>
                <w:b/>
                <w:bCs/>
                <w:color w:val="000000"/>
                <w:sz w:val="18"/>
                <w:szCs w:val="18"/>
              </w:rPr>
              <w:br/>
            </w:r>
            <w:r>
              <w:rPr>
                <w:rStyle w:val="Strong"/>
                <w:rFonts w:ascii="Arial" w:hAnsi="Arial" w:cs="Arial"/>
                <w:color w:val="000000"/>
                <w:sz w:val="18"/>
                <w:szCs w:val="18"/>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6B6306" w:rsidRDefault="006B6306">
            <w:pPr>
              <w:pStyle w:val="NormalWeb"/>
              <w:spacing w:after="90" w:afterAutospacing="0" w:line="345" w:lineRule="atLeast"/>
              <w:jc w:val="center"/>
              <w:rPr>
                <w:rFonts w:ascii="Arial" w:hAnsi="Arial" w:cs="Arial"/>
                <w:color w:val="000000"/>
                <w:sz w:val="18"/>
                <w:szCs w:val="18"/>
              </w:rPr>
            </w:pPr>
            <w:r>
              <w:rPr>
                <w:rStyle w:val="Strong"/>
                <w:rFonts w:ascii="Arial" w:hAnsi="Arial" w:cs="Arial"/>
                <w:color w:val="000000"/>
                <w:sz w:val="18"/>
                <w:szCs w:val="18"/>
              </w:rPr>
              <w:t>CỘNG HÒA XÃ HỘI CHỦ NGHĨA VIỆT NAM</w:t>
            </w:r>
            <w:r>
              <w:rPr>
                <w:rFonts w:ascii="Arial" w:hAnsi="Arial" w:cs="Arial"/>
                <w:b/>
                <w:bCs/>
                <w:color w:val="000000"/>
                <w:sz w:val="18"/>
                <w:szCs w:val="18"/>
              </w:rPr>
              <w:br/>
            </w:r>
            <w:r>
              <w:rPr>
                <w:rStyle w:val="Strong"/>
                <w:rFonts w:ascii="Arial" w:hAnsi="Arial" w:cs="Arial"/>
                <w:color w:val="000000"/>
                <w:sz w:val="18"/>
                <w:szCs w:val="18"/>
              </w:rPr>
              <w:t>Độc lập - Tự do - Hạnh phúc </w:t>
            </w:r>
            <w:r>
              <w:rPr>
                <w:rFonts w:ascii="Arial" w:hAnsi="Arial" w:cs="Arial"/>
                <w:b/>
                <w:bCs/>
                <w:color w:val="000000"/>
                <w:sz w:val="18"/>
                <w:szCs w:val="18"/>
              </w:rPr>
              <w:br/>
            </w:r>
            <w:r>
              <w:rPr>
                <w:rStyle w:val="Strong"/>
                <w:rFonts w:ascii="Arial" w:hAnsi="Arial" w:cs="Arial"/>
                <w:color w:val="000000"/>
                <w:sz w:val="18"/>
                <w:szCs w:val="18"/>
              </w:rPr>
              <w:t>---------------</w:t>
            </w:r>
          </w:p>
        </w:tc>
      </w:tr>
      <w:tr w:rsidR="006B6306" w:rsidTr="006B6306">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6B6306" w:rsidRDefault="006B6306">
            <w:pPr>
              <w:pStyle w:val="NormalWeb"/>
              <w:spacing w:after="90" w:afterAutospacing="0" w:line="345" w:lineRule="atLeast"/>
              <w:rPr>
                <w:rFonts w:ascii="Arial" w:hAnsi="Arial" w:cs="Arial"/>
                <w:color w:val="000000"/>
                <w:sz w:val="18"/>
                <w:szCs w:val="18"/>
              </w:rPr>
            </w:pPr>
            <w:r>
              <w:rPr>
                <w:rFonts w:ascii="Arial" w:hAnsi="Arial" w:cs="Arial"/>
                <w:color w:val="000000"/>
                <w:sz w:val="18"/>
                <w:szCs w:val="18"/>
              </w:rPr>
              <w:t>Số: 7149/BYT-BH</w:t>
            </w:r>
            <w:r>
              <w:rPr>
                <w:rFonts w:ascii="MingLiU" w:eastAsia="MingLiU" w:hAnsi="MingLiU" w:cs="MingLiU"/>
                <w:color w:val="000000"/>
                <w:sz w:val="18"/>
                <w:szCs w:val="18"/>
              </w:rPr>
              <w:br/>
            </w:r>
            <w:r>
              <w:rPr>
                <w:rStyle w:val="Emphasis"/>
                <w:rFonts w:ascii="Arial" w:hAnsi="Arial" w:cs="Arial"/>
                <w:color w:val="000000"/>
                <w:sz w:val="16"/>
                <w:szCs w:val="16"/>
              </w:rPr>
              <w:t>V/v thanh toán chi phí KCB cho người bệnh đang điều trị nhưng thẻ BHYT hết hạn sử dụng</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6B6306" w:rsidRDefault="006B6306">
            <w:pPr>
              <w:pStyle w:val="NormalWeb"/>
              <w:spacing w:after="90" w:afterAutospacing="0" w:line="345" w:lineRule="atLeast"/>
              <w:jc w:val="right"/>
              <w:rPr>
                <w:rFonts w:ascii="Arial" w:hAnsi="Arial" w:cs="Arial"/>
                <w:color w:val="000000"/>
                <w:sz w:val="18"/>
                <w:szCs w:val="18"/>
              </w:rPr>
            </w:pPr>
            <w:r>
              <w:rPr>
                <w:rStyle w:val="Emphasis"/>
                <w:rFonts w:ascii="Arial" w:hAnsi="Arial" w:cs="Arial"/>
                <w:color w:val="000000"/>
                <w:sz w:val="18"/>
                <w:szCs w:val="18"/>
              </w:rPr>
              <w:t>Hà Nội, ngày 13 tháng 12 năm 2017</w:t>
            </w:r>
          </w:p>
        </w:tc>
      </w:tr>
    </w:tbl>
    <w:p w:rsidR="006B6306" w:rsidRDefault="006B6306" w:rsidP="006B6306">
      <w:pPr>
        <w:pStyle w:val="NormalWeb"/>
        <w:spacing w:after="90" w:afterAutospacing="0" w:line="345" w:lineRule="atLeast"/>
        <w:rPr>
          <w:rFonts w:ascii="Arial" w:eastAsia="Calibri" w:hAnsi="Arial" w:cs="Arial"/>
          <w:color w:val="333333"/>
        </w:rPr>
      </w:pPr>
    </w:p>
    <w:p w:rsidR="006B6306" w:rsidRDefault="006B6306" w:rsidP="006B6306">
      <w:pPr>
        <w:pStyle w:val="NormalWeb"/>
        <w:spacing w:after="90" w:afterAutospacing="0" w:line="345" w:lineRule="atLeast"/>
        <w:rPr>
          <w:rFonts w:ascii="Arial" w:hAnsi="Arial" w:cs="Arial"/>
          <w:color w:val="333333"/>
        </w:rPr>
      </w:pPr>
      <w:r>
        <w:rPr>
          <w:rStyle w:val="Strong"/>
          <w:rFonts w:ascii="Arial" w:hAnsi="Arial" w:cs="Arial"/>
          <w:color w:val="000000"/>
        </w:rPr>
        <w:t>Kinh gửi:</w:t>
      </w:r>
      <w:r>
        <w:rPr>
          <w:rFonts w:ascii="Arial" w:hAnsi="Arial" w:cs="Arial"/>
          <w:color w:val="000000"/>
        </w:rPr>
        <w:t> Bảo hiểm xã hội Việt Nam</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Bộ Y tế nhận được Công văn số 1204TCKT/BVN của Bệnh viện Nhi Trung ương xin ý kiến về quy định đối với trường hợp người bệnh bảo hiểm y tế (BHYT) đang điều trị tại cơ sở y tế nhưng thẻ BHYT hết thời hạn sử dụng, Bộ Y tế có ý kiến như sau:</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1. Đối với trường hợp người bệnh đang điều trị có thẻ BHYT hết hạn sử dụng:</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Khoản 2 Điều 11 </w:t>
      </w:r>
      <w:hyperlink r:id="rId8" w:history="1">
        <w:r>
          <w:rPr>
            <w:rStyle w:val="Hyperlink"/>
            <w:rFonts w:ascii="Arial" w:hAnsi="Arial" w:cs="Arial"/>
            <w:color w:val="0782C1"/>
          </w:rPr>
          <w:t>Nghị định 105/2014/NĐ-CP</w:t>
        </w:r>
      </w:hyperlink>
      <w:r>
        <w:rPr>
          <w:rFonts w:ascii="Arial" w:hAnsi="Arial" w:cs="Arial"/>
          <w:color w:val="000000"/>
        </w:rPr>
        <w:t> ngày 15/11/2014 của Chính phủ quy định chi tiết và hướng dẫn thi hành một số điều của Luật BHYT </w:t>
      </w:r>
      <w:r>
        <w:rPr>
          <w:rStyle w:val="Strong"/>
          <w:rFonts w:ascii="Arial" w:hAnsi="Arial" w:cs="Arial"/>
          <w:color w:val="000000"/>
        </w:rPr>
        <w:t>“Trường hợp người có thẻ bảo hiểm y tế đang điều trị tại cơ sở khám bệnh, chữa bệnh nhưng thẻ bảo hiểm y tế hết hạn sử dụng thì vẫn được quỹ bảo hiểm y tế thanh toán chi phí khám bệnh, chữa bệnh trong phạm vi được hưởng theo chế độ quy định cho đến khi ra viện hoặc hết đợt điều trị ngoại trú”</w:t>
      </w:r>
      <w:r>
        <w:rPr>
          <w:rFonts w:ascii="Arial" w:hAnsi="Arial" w:cs="Arial"/>
          <w:color w:val="000000"/>
        </w:rPr>
        <w:t>. Như vậy, việc Bảo hiểm xã hội Việt Nam hướng dẫn “Quỹ BHYT thanh toán chi phí khám bệnh, chữa bệnh trong phạm vi quyền lợi và mức hưởng theo chế độ quy định cho đến khi ra viện hoặc hết đợt điều trị ngoại trú chỉ áp dụng trong các trường hợp thẻ hết hạn sử dụng vào cuối năm tài chính (31/12 hàng năm), do nguyên nhân khách quan chưa kịp cấp thẻ BHYT mới” là chưa đúng quy định tại Nghị định 105/2014/NĐ-CP.</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2. Về giá trị sử dụng của thẻ BHYT đối với trẻ em:</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 Theo quy định hiện hành, trường hợp trẻ em đủ 72 tháng tuổi mà chưa đến kỳ nhập học thì thẻ BHYT có giá trị sử dụng đến hết ngày 30 tháng 9 của năm đó (điểm d khoản 3 Điều 16 Luật BHYT được sửa đổi, bổ sung năm 2014).</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 xml:space="preserve">- Trường hợp “thẻ BHYT hết hạn và có thẻ BHYT mới thuộc nhóm đối tượng khác (học sinh, thân nhân...); Trẻ em trên 6 tuổi thẻ hết hạn nhưng chưa được cấp thẻ mới hoặc </w:t>
      </w:r>
      <w:r>
        <w:rPr>
          <w:rFonts w:ascii="Arial" w:hAnsi="Arial" w:cs="Arial"/>
          <w:color w:val="000000"/>
        </w:rPr>
        <w:lastRenderedPageBreak/>
        <w:t>không có thẻ tiếp nối”, thực hiện theo quy định tại khoản 2 Điều 11 Nghị định 105/2014/NĐ-CP.</w:t>
      </w:r>
    </w:p>
    <w:p w:rsidR="006B6306" w:rsidRDefault="006B6306" w:rsidP="006B6306">
      <w:pPr>
        <w:pStyle w:val="NormalWeb"/>
        <w:spacing w:after="90" w:afterAutospacing="0" w:line="345" w:lineRule="atLeast"/>
        <w:jc w:val="both"/>
        <w:rPr>
          <w:rFonts w:ascii="Arial" w:hAnsi="Arial" w:cs="Arial"/>
          <w:color w:val="333333"/>
        </w:rPr>
      </w:pPr>
      <w:r>
        <w:rPr>
          <w:rFonts w:ascii="Arial" w:hAnsi="Arial" w:cs="Arial"/>
          <w:color w:val="000000"/>
        </w:rPr>
        <w:t>Bộ Y tế đề nghị Bảo hiểm xã hội Việt Nam tổ chức thực hiện theo đúng quy định./.</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6B6306" w:rsidTr="006B6306">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6B6306" w:rsidRDefault="006B6306">
            <w:pPr>
              <w:pStyle w:val="NormalWeb"/>
              <w:spacing w:after="90" w:afterAutospacing="0" w:line="345" w:lineRule="atLeast"/>
              <w:rPr>
                <w:rFonts w:ascii="Arial" w:hAnsi="Arial" w:cs="Arial"/>
                <w:color w:val="000000"/>
                <w:sz w:val="18"/>
                <w:szCs w:val="18"/>
              </w:rPr>
            </w:pPr>
          </w:p>
          <w:p w:rsidR="006B6306" w:rsidRDefault="006B6306">
            <w:pPr>
              <w:pStyle w:val="NormalWeb"/>
              <w:spacing w:after="90" w:afterAutospacing="0" w:line="345" w:lineRule="atLeast"/>
              <w:rPr>
                <w:rFonts w:ascii="Arial" w:hAnsi="Arial" w:cs="Arial"/>
                <w:color w:val="000000"/>
                <w:sz w:val="18"/>
                <w:szCs w:val="18"/>
              </w:rPr>
            </w:pPr>
            <w:r>
              <w:rPr>
                <w:rFonts w:ascii="Arial" w:hAnsi="Arial" w:cs="Arial"/>
                <w:color w:val="000000"/>
                <w:sz w:val="20"/>
                <w:szCs w:val="20"/>
              </w:rPr>
              <w:t>Nơi nhận:</w:t>
            </w:r>
            <w:r>
              <w:rPr>
                <w:rFonts w:ascii="MingLiU" w:eastAsia="MingLiU" w:hAnsi="MingLiU" w:cs="MingLiU"/>
                <w:color w:val="000000"/>
                <w:sz w:val="20"/>
                <w:szCs w:val="20"/>
              </w:rPr>
              <w:br/>
            </w:r>
            <w:r>
              <w:rPr>
                <w:rFonts w:ascii="Arial" w:hAnsi="Arial" w:cs="Arial"/>
                <w:color w:val="000000"/>
                <w:sz w:val="20"/>
                <w:szCs w:val="20"/>
              </w:rPr>
              <w:t>- Bộ trưởng (để b/c);</w:t>
            </w:r>
            <w:r>
              <w:rPr>
                <w:rFonts w:ascii="MingLiU" w:eastAsia="MingLiU" w:hAnsi="MingLiU" w:cs="MingLiU"/>
                <w:color w:val="000000"/>
                <w:sz w:val="20"/>
                <w:szCs w:val="20"/>
              </w:rPr>
              <w:br/>
            </w:r>
            <w:r>
              <w:rPr>
                <w:rFonts w:ascii="Arial" w:hAnsi="Arial" w:cs="Arial"/>
                <w:color w:val="000000"/>
                <w:sz w:val="20"/>
                <w:szCs w:val="20"/>
              </w:rPr>
              <w:t>- Các Vụ, Cục: KH-TC, KCB, YHCT, Ttra Bộ;</w:t>
            </w:r>
            <w:r>
              <w:rPr>
                <w:rFonts w:ascii="MingLiU" w:eastAsia="MingLiU" w:hAnsi="MingLiU" w:cs="MingLiU"/>
                <w:color w:val="000000"/>
                <w:sz w:val="20"/>
                <w:szCs w:val="20"/>
              </w:rPr>
              <w:br/>
            </w:r>
            <w:r>
              <w:rPr>
                <w:rFonts w:ascii="Arial" w:hAnsi="Arial" w:cs="Arial"/>
                <w:color w:val="000000"/>
                <w:sz w:val="20"/>
                <w:szCs w:val="20"/>
              </w:rPr>
              <w:t>- Sở Y tế các tỉnh, TP trực thuộc TƯ;</w:t>
            </w:r>
            <w:r>
              <w:rPr>
                <w:rFonts w:ascii="MingLiU" w:eastAsia="MingLiU" w:hAnsi="MingLiU" w:cs="MingLiU"/>
                <w:color w:val="000000"/>
                <w:sz w:val="20"/>
                <w:szCs w:val="20"/>
              </w:rPr>
              <w:br/>
            </w:r>
            <w:r>
              <w:rPr>
                <w:rFonts w:ascii="Arial" w:hAnsi="Arial" w:cs="Arial"/>
                <w:color w:val="000000"/>
                <w:sz w:val="20"/>
                <w:szCs w:val="20"/>
              </w:rPr>
              <w:t>- Các BV, viện trực thuộc Bộ Y tế;</w:t>
            </w:r>
            <w:r>
              <w:rPr>
                <w:rFonts w:ascii="MingLiU" w:eastAsia="MingLiU" w:hAnsi="MingLiU" w:cs="MingLiU"/>
                <w:color w:val="000000"/>
                <w:sz w:val="20"/>
                <w:szCs w:val="20"/>
              </w:rPr>
              <w:br/>
            </w:r>
            <w:r>
              <w:rPr>
                <w:rFonts w:ascii="Arial" w:hAnsi="Arial" w:cs="Arial"/>
                <w:color w:val="000000"/>
                <w:sz w:val="20"/>
                <w:szCs w:val="20"/>
              </w:rPr>
              <w:t>- Y tế bộ, ngành;</w:t>
            </w:r>
            <w:r>
              <w:rPr>
                <w:rFonts w:ascii="MingLiU" w:eastAsia="MingLiU" w:hAnsi="MingLiU" w:cs="MingLiU"/>
                <w:color w:val="000000"/>
                <w:sz w:val="20"/>
                <w:szCs w:val="20"/>
              </w:rPr>
              <w:br/>
            </w:r>
            <w:r>
              <w:rPr>
                <w:rFonts w:ascii="Arial" w:hAnsi="Arial" w:cs="Arial"/>
                <w:color w:val="000000"/>
                <w:sz w:val="20"/>
                <w:szCs w:val="20"/>
              </w:rPr>
              <w:t>- Lưu: VT, BH.</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6B6306" w:rsidRDefault="006B6306">
            <w:pPr>
              <w:pStyle w:val="NormalWeb"/>
              <w:spacing w:after="90" w:afterAutospacing="0" w:line="345" w:lineRule="atLeast"/>
              <w:jc w:val="center"/>
              <w:rPr>
                <w:rFonts w:ascii="Arial" w:hAnsi="Arial" w:cs="Arial"/>
                <w:color w:val="000000"/>
                <w:sz w:val="18"/>
                <w:szCs w:val="18"/>
              </w:rPr>
            </w:pPr>
            <w:r>
              <w:rPr>
                <w:rFonts w:ascii="Arial" w:hAnsi="Arial" w:cs="Arial"/>
                <w:color w:val="000000"/>
                <w:sz w:val="20"/>
                <w:szCs w:val="20"/>
              </w:rPr>
              <w:t>KT. BỘ TRƯỞNG</w:t>
            </w:r>
            <w:r>
              <w:rPr>
                <w:rFonts w:ascii="MingLiU" w:eastAsia="MingLiU" w:hAnsi="MingLiU" w:cs="MingLiU"/>
                <w:color w:val="000000"/>
                <w:sz w:val="20"/>
                <w:szCs w:val="20"/>
              </w:rPr>
              <w:br/>
            </w:r>
            <w:r>
              <w:rPr>
                <w:rFonts w:ascii="Arial" w:hAnsi="Arial" w:cs="Arial"/>
                <w:color w:val="000000"/>
                <w:sz w:val="20"/>
                <w:szCs w:val="20"/>
              </w:rPr>
              <w:t>THỨ TRƯỞNG</w:t>
            </w:r>
            <w:r>
              <w:rPr>
                <w:rFonts w:ascii="MingLiU" w:eastAsia="MingLiU" w:hAnsi="MingLiU" w:cs="MingLiU"/>
                <w:color w:val="000000"/>
                <w:sz w:val="20"/>
                <w:szCs w:val="20"/>
              </w:rPr>
              <w:br/>
            </w:r>
            <w:r>
              <w:rPr>
                <w:rFonts w:ascii="MingLiU" w:eastAsia="MingLiU" w:hAnsi="MingLiU" w:cs="MingLiU"/>
                <w:color w:val="000000"/>
                <w:sz w:val="20"/>
                <w:szCs w:val="20"/>
              </w:rPr>
              <w:br/>
            </w:r>
            <w:r>
              <w:rPr>
                <w:rFonts w:ascii="MingLiU" w:eastAsia="MingLiU" w:hAnsi="MingLiU" w:cs="MingLiU"/>
                <w:color w:val="000000"/>
                <w:sz w:val="20"/>
                <w:szCs w:val="20"/>
              </w:rPr>
              <w:br/>
            </w:r>
            <w:r>
              <w:rPr>
                <w:rFonts w:ascii="MingLiU" w:eastAsia="MingLiU" w:hAnsi="MingLiU" w:cs="MingLiU"/>
                <w:color w:val="000000"/>
                <w:sz w:val="20"/>
                <w:szCs w:val="20"/>
              </w:rPr>
              <w:br/>
            </w:r>
            <w:r>
              <w:rPr>
                <w:rFonts w:ascii="MingLiU" w:eastAsia="MingLiU" w:hAnsi="MingLiU" w:cs="MingLiU"/>
                <w:color w:val="000000"/>
                <w:sz w:val="20"/>
                <w:szCs w:val="20"/>
              </w:rPr>
              <w:br/>
            </w:r>
            <w:r>
              <w:rPr>
                <w:rFonts w:ascii="Arial" w:hAnsi="Arial" w:cs="Arial"/>
                <w:color w:val="000000"/>
                <w:sz w:val="20"/>
                <w:szCs w:val="20"/>
              </w:rPr>
              <w:t>Phạm Lê Tuấn</w:t>
            </w:r>
          </w:p>
        </w:tc>
      </w:tr>
    </w:tbl>
    <w:p w:rsidR="00266947" w:rsidRPr="006B6306" w:rsidRDefault="00266947" w:rsidP="006B6306"/>
    <w:sectPr w:rsidR="00266947" w:rsidRPr="006B6306"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1CB" w:rsidRDefault="007A11CB" w:rsidP="007446EA">
      <w:pPr>
        <w:spacing w:after="0" w:line="240" w:lineRule="auto"/>
      </w:pPr>
      <w:r>
        <w:separator/>
      </w:r>
    </w:p>
  </w:endnote>
  <w:endnote w:type="continuationSeparator" w:id="0">
    <w:p w:rsidR="007A11CB" w:rsidRDefault="007A11C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9" w:rsidRDefault="00EC3C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7178F" w:rsidRDefault="0087178F" w:rsidP="0087178F">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9" w:rsidRDefault="00EC3C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1CB" w:rsidRDefault="007A11CB" w:rsidP="007446EA">
      <w:pPr>
        <w:spacing w:after="0" w:line="240" w:lineRule="auto"/>
      </w:pPr>
      <w:r>
        <w:separator/>
      </w:r>
    </w:p>
  </w:footnote>
  <w:footnote w:type="continuationSeparator" w:id="0">
    <w:p w:rsidR="007A11CB" w:rsidRDefault="007A11C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9" w:rsidRDefault="00EC3C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7178F" w:rsidRDefault="0087178F" w:rsidP="0087178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9" w:rsidRDefault="00EC3C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3A72"/>
    <w:rsid w:val="00016233"/>
    <w:rsid w:val="000170AA"/>
    <w:rsid w:val="000211AB"/>
    <w:rsid w:val="0003316C"/>
    <w:rsid w:val="000749B1"/>
    <w:rsid w:val="0008367D"/>
    <w:rsid w:val="000B6B5F"/>
    <w:rsid w:val="000C6379"/>
    <w:rsid w:val="000C6DC7"/>
    <w:rsid w:val="00100E68"/>
    <w:rsid w:val="00110D8A"/>
    <w:rsid w:val="00114A09"/>
    <w:rsid w:val="00117BAA"/>
    <w:rsid w:val="001371E2"/>
    <w:rsid w:val="00142D6E"/>
    <w:rsid w:val="00151EDC"/>
    <w:rsid w:val="00156742"/>
    <w:rsid w:val="001579A3"/>
    <w:rsid w:val="0016069F"/>
    <w:rsid w:val="00164689"/>
    <w:rsid w:val="00165F79"/>
    <w:rsid w:val="00176763"/>
    <w:rsid w:val="00197198"/>
    <w:rsid w:val="001A023C"/>
    <w:rsid w:val="001A2BB2"/>
    <w:rsid w:val="001C1A29"/>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121E"/>
    <w:rsid w:val="0033355F"/>
    <w:rsid w:val="00333827"/>
    <w:rsid w:val="00333D1D"/>
    <w:rsid w:val="003344EF"/>
    <w:rsid w:val="003410AC"/>
    <w:rsid w:val="00342F0A"/>
    <w:rsid w:val="00345989"/>
    <w:rsid w:val="00352B3F"/>
    <w:rsid w:val="00366F09"/>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A6FC6"/>
    <w:rsid w:val="004C1120"/>
    <w:rsid w:val="004C6B7C"/>
    <w:rsid w:val="004D31FF"/>
    <w:rsid w:val="004D4148"/>
    <w:rsid w:val="004D6025"/>
    <w:rsid w:val="004E6574"/>
    <w:rsid w:val="004F70E5"/>
    <w:rsid w:val="004F7FE9"/>
    <w:rsid w:val="00542C5E"/>
    <w:rsid w:val="00544F46"/>
    <w:rsid w:val="005730FA"/>
    <w:rsid w:val="00574B76"/>
    <w:rsid w:val="00590C46"/>
    <w:rsid w:val="005A2EB8"/>
    <w:rsid w:val="005D427A"/>
    <w:rsid w:val="005D6E75"/>
    <w:rsid w:val="006144E1"/>
    <w:rsid w:val="00621297"/>
    <w:rsid w:val="006241E2"/>
    <w:rsid w:val="00635B52"/>
    <w:rsid w:val="00640271"/>
    <w:rsid w:val="006430D5"/>
    <w:rsid w:val="00644360"/>
    <w:rsid w:val="00647B4B"/>
    <w:rsid w:val="00675E27"/>
    <w:rsid w:val="00682554"/>
    <w:rsid w:val="006975D9"/>
    <w:rsid w:val="006A6312"/>
    <w:rsid w:val="006A65C8"/>
    <w:rsid w:val="006A6FE0"/>
    <w:rsid w:val="006A7527"/>
    <w:rsid w:val="006B3FCD"/>
    <w:rsid w:val="006B6306"/>
    <w:rsid w:val="006C4FF7"/>
    <w:rsid w:val="006E130D"/>
    <w:rsid w:val="006E27F5"/>
    <w:rsid w:val="006E4EF2"/>
    <w:rsid w:val="006E6267"/>
    <w:rsid w:val="006E733F"/>
    <w:rsid w:val="00712ABF"/>
    <w:rsid w:val="00723F5F"/>
    <w:rsid w:val="00724AA4"/>
    <w:rsid w:val="00737BA8"/>
    <w:rsid w:val="007446EA"/>
    <w:rsid w:val="00746BFF"/>
    <w:rsid w:val="0074733D"/>
    <w:rsid w:val="0075366E"/>
    <w:rsid w:val="007536AF"/>
    <w:rsid w:val="0076507C"/>
    <w:rsid w:val="00770BA3"/>
    <w:rsid w:val="00787E40"/>
    <w:rsid w:val="00790AB2"/>
    <w:rsid w:val="0079414E"/>
    <w:rsid w:val="007A11CB"/>
    <w:rsid w:val="007B275F"/>
    <w:rsid w:val="007C0EF4"/>
    <w:rsid w:val="007D0032"/>
    <w:rsid w:val="007D58D7"/>
    <w:rsid w:val="0081472B"/>
    <w:rsid w:val="00824365"/>
    <w:rsid w:val="00831FB4"/>
    <w:rsid w:val="008323AF"/>
    <w:rsid w:val="00840C95"/>
    <w:rsid w:val="0084368F"/>
    <w:rsid w:val="00843ABF"/>
    <w:rsid w:val="00862C8F"/>
    <w:rsid w:val="0087178F"/>
    <w:rsid w:val="008744ED"/>
    <w:rsid w:val="0087635F"/>
    <w:rsid w:val="00876FD6"/>
    <w:rsid w:val="008950F4"/>
    <w:rsid w:val="008B09DD"/>
    <w:rsid w:val="008C6DE0"/>
    <w:rsid w:val="008D6F0B"/>
    <w:rsid w:val="008F5B5A"/>
    <w:rsid w:val="00904222"/>
    <w:rsid w:val="00913B46"/>
    <w:rsid w:val="009147F4"/>
    <w:rsid w:val="0091693E"/>
    <w:rsid w:val="009377C3"/>
    <w:rsid w:val="009456E5"/>
    <w:rsid w:val="00954A4A"/>
    <w:rsid w:val="00955C4F"/>
    <w:rsid w:val="00957361"/>
    <w:rsid w:val="00961040"/>
    <w:rsid w:val="00962D4B"/>
    <w:rsid w:val="00963070"/>
    <w:rsid w:val="00974830"/>
    <w:rsid w:val="00975E4B"/>
    <w:rsid w:val="009874E5"/>
    <w:rsid w:val="009A4A6F"/>
    <w:rsid w:val="009B02A5"/>
    <w:rsid w:val="009D7EB6"/>
    <w:rsid w:val="009E2671"/>
    <w:rsid w:val="00A14CA8"/>
    <w:rsid w:val="00A36E75"/>
    <w:rsid w:val="00A418C7"/>
    <w:rsid w:val="00A52740"/>
    <w:rsid w:val="00A55EC1"/>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3F2C"/>
    <w:rsid w:val="00B75E6C"/>
    <w:rsid w:val="00B80359"/>
    <w:rsid w:val="00B83A02"/>
    <w:rsid w:val="00BC240B"/>
    <w:rsid w:val="00BC5FB2"/>
    <w:rsid w:val="00BF2F30"/>
    <w:rsid w:val="00C25B1C"/>
    <w:rsid w:val="00C478D9"/>
    <w:rsid w:val="00C502AE"/>
    <w:rsid w:val="00C8419B"/>
    <w:rsid w:val="00CA573C"/>
    <w:rsid w:val="00CC2E2B"/>
    <w:rsid w:val="00CF7E50"/>
    <w:rsid w:val="00D219C3"/>
    <w:rsid w:val="00D226BC"/>
    <w:rsid w:val="00D26D8B"/>
    <w:rsid w:val="00D45604"/>
    <w:rsid w:val="00D95898"/>
    <w:rsid w:val="00DA14C6"/>
    <w:rsid w:val="00DA2E98"/>
    <w:rsid w:val="00DC05B1"/>
    <w:rsid w:val="00DE0E08"/>
    <w:rsid w:val="00DE16FB"/>
    <w:rsid w:val="00DF66F6"/>
    <w:rsid w:val="00E12656"/>
    <w:rsid w:val="00E1389B"/>
    <w:rsid w:val="00E265E0"/>
    <w:rsid w:val="00E330B0"/>
    <w:rsid w:val="00E33BC3"/>
    <w:rsid w:val="00E401FB"/>
    <w:rsid w:val="00E461B1"/>
    <w:rsid w:val="00E73912"/>
    <w:rsid w:val="00E76EB0"/>
    <w:rsid w:val="00E81D35"/>
    <w:rsid w:val="00E87320"/>
    <w:rsid w:val="00E87B1E"/>
    <w:rsid w:val="00EA5CDA"/>
    <w:rsid w:val="00EC2D51"/>
    <w:rsid w:val="00EC3C69"/>
    <w:rsid w:val="00ED16D6"/>
    <w:rsid w:val="00F17699"/>
    <w:rsid w:val="00F2307B"/>
    <w:rsid w:val="00F24067"/>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305/nghi-dinh-105-2014-nd-cp-cua-chinh-phu-ve-viec-quy-dinh-chi-tiet-va-huong-dan-thi-hanh-mot-so-dieu-cua-luat-bao-hiem-y-.aspx"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127</cp:revision>
  <dcterms:created xsi:type="dcterms:W3CDTF">2015-09-25T00:33:00Z</dcterms:created>
  <dcterms:modified xsi:type="dcterms:W3CDTF">2020-05-18T03:22:00Z</dcterms:modified>
</cp:coreProperties>
</file>