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0" w:type="dxa"/>
        <w:tblCellMar>
          <w:left w:w="0" w:type="dxa"/>
          <w:right w:w="0" w:type="dxa"/>
        </w:tblCellMar>
        <w:tblLook w:val="04A0" w:firstRow="1" w:lastRow="0" w:firstColumn="1" w:lastColumn="0" w:noHBand="0" w:noVBand="1"/>
      </w:tblPr>
      <w:tblGrid>
        <w:gridCol w:w="3348"/>
        <w:gridCol w:w="5508"/>
      </w:tblGrid>
      <w:tr w:rsidR="009F6AB9">
        <w:trPr>
          <w:tblCellSpacing w:w="0" w:type="dxa"/>
        </w:trPr>
        <w:tc>
          <w:tcPr>
            <w:tcW w:w="3348" w:type="dxa"/>
            <w:tcMar>
              <w:top w:w="0" w:type="dxa"/>
              <w:left w:w="108" w:type="dxa"/>
              <w:bottom w:w="0" w:type="dxa"/>
              <w:right w:w="108" w:type="dxa"/>
            </w:tcMar>
            <w:hideMark/>
          </w:tcPr>
          <w:p w:rsidR="009F6AB9" w:rsidRDefault="00D156F8">
            <w:pPr>
              <w:spacing w:before="120" w:after="100" w:afterAutospacing="1" w:line="360" w:lineRule="auto"/>
              <w:jc w:val="center"/>
              <w:rPr>
                <w:rFonts w:ascii="Arial" w:eastAsia="Times New Roman" w:hAnsi="Arial" w:cs="Arial"/>
                <w:szCs w:val="28"/>
              </w:rPr>
            </w:pPr>
            <w:bookmarkStart w:id="0" w:name="_GoBack"/>
            <w:bookmarkEnd w:id="0"/>
            <w:r>
              <w:rPr>
                <w:rFonts w:ascii="Arial" w:eastAsia="Times New Roman" w:hAnsi="Arial" w:cs="Arial"/>
                <w:b/>
                <w:bCs/>
                <w:szCs w:val="28"/>
              </w:rPr>
              <w:t>BỘ TÀI CHÍNH</w:t>
            </w:r>
            <w:r>
              <w:rPr>
                <w:rFonts w:ascii="Arial" w:eastAsia="Times New Roman" w:hAnsi="Arial" w:cs="Arial"/>
                <w:b/>
                <w:bCs/>
                <w:szCs w:val="28"/>
              </w:rPr>
              <w:br/>
              <w:t>-------</w:t>
            </w:r>
          </w:p>
        </w:tc>
        <w:tc>
          <w:tcPr>
            <w:tcW w:w="5508" w:type="dxa"/>
            <w:tcMar>
              <w:top w:w="0" w:type="dxa"/>
              <w:left w:w="108" w:type="dxa"/>
              <w:bottom w:w="0" w:type="dxa"/>
              <w:right w:w="108" w:type="dxa"/>
            </w:tcMar>
            <w:hideMark/>
          </w:tcPr>
          <w:p w:rsidR="009F6AB9" w:rsidRDefault="00D156F8">
            <w:pPr>
              <w:spacing w:before="120" w:after="100" w:afterAutospacing="1" w:line="360" w:lineRule="auto"/>
              <w:jc w:val="center"/>
              <w:rPr>
                <w:rFonts w:ascii="Arial" w:eastAsia="Times New Roman" w:hAnsi="Arial" w:cs="Arial"/>
                <w:szCs w:val="28"/>
              </w:rPr>
            </w:pPr>
            <w:r>
              <w:rPr>
                <w:rFonts w:ascii="Arial" w:eastAsia="Times New Roman" w:hAnsi="Arial" w:cs="Arial"/>
                <w:b/>
                <w:bCs/>
                <w:szCs w:val="28"/>
              </w:rPr>
              <w:t>CỘNG HÒA XÃ HỘI CHỦ NGHĨA VIỆT NAM</w:t>
            </w:r>
            <w:r>
              <w:rPr>
                <w:rFonts w:ascii="Arial" w:eastAsia="Times New Roman" w:hAnsi="Arial" w:cs="Arial"/>
                <w:b/>
                <w:bCs/>
                <w:szCs w:val="28"/>
              </w:rPr>
              <w:br/>
              <w:t xml:space="preserve">Độc lập - Tự do - Hạnh phúc </w:t>
            </w:r>
            <w:r>
              <w:rPr>
                <w:rFonts w:ascii="Arial" w:eastAsia="Times New Roman" w:hAnsi="Arial" w:cs="Arial"/>
                <w:b/>
                <w:bCs/>
                <w:szCs w:val="28"/>
              </w:rPr>
              <w:br/>
              <w:t>---------------</w:t>
            </w:r>
          </w:p>
        </w:tc>
      </w:tr>
      <w:tr w:rsidR="009F6AB9">
        <w:trPr>
          <w:tblCellSpacing w:w="0" w:type="dxa"/>
        </w:trPr>
        <w:tc>
          <w:tcPr>
            <w:tcW w:w="3348" w:type="dxa"/>
            <w:tcMar>
              <w:top w:w="0" w:type="dxa"/>
              <w:left w:w="108" w:type="dxa"/>
              <w:bottom w:w="0" w:type="dxa"/>
              <w:right w:w="108" w:type="dxa"/>
            </w:tcMar>
            <w:hideMark/>
          </w:tcPr>
          <w:p w:rsidR="009F6AB9" w:rsidRDefault="00D156F8">
            <w:pPr>
              <w:spacing w:before="120" w:after="100" w:afterAutospacing="1" w:line="360" w:lineRule="auto"/>
              <w:jc w:val="center"/>
              <w:rPr>
                <w:rFonts w:ascii="Arial" w:eastAsia="Times New Roman" w:hAnsi="Arial" w:cs="Arial"/>
                <w:szCs w:val="28"/>
              </w:rPr>
            </w:pPr>
            <w:r>
              <w:rPr>
                <w:rFonts w:ascii="Arial" w:eastAsia="Times New Roman" w:hAnsi="Arial" w:cs="Arial"/>
                <w:szCs w:val="28"/>
              </w:rPr>
              <w:t>Số: 11797/BTC-TCT</w:t>
            </w:r>
            <w:r>
              <w:rPr>
                <w:rFonts w:ascii="Arial" w:eastAsia="Times New Roman" w:hAnsi="Arial" w:cs="Arial"/>
                <w:szCs w:val="28"/>
              </w:rPr>
              <w:br/>
            </w:r>
            <w:r>
              <w:rPr>
                <w:rFonts w:ascii="Arial" w:eastAsia="Times New Roman" w:hAnsi="Arial" w:cs="Arial"/>
                <w:i/>
                <w:iCs/>
                <w:sz w:val="20"/>
                <w:szCs w:val="28"/>
              </w:rPr>
              <w:t>V/v hướng dẫn và bổ sung nội dung công văn số 1752/BTC-TCT</w:t>
            </w:r>
          </w:p>
        </w:tc>
        <w:tc>
          <w:tcPr>
            <w:tcW w:w="5508" w:type="dxa"/>
            <w:tcMar>
              <w:top w:w="0" w:type="dxa"/>
              <w:left w:w="108" w:type="dxa"/>
              <w:bottom w:w="0" w:type="dxa"/>
              <w:right w:w="108" w:type="dxa"/>
            </w:tcMar>
            <w:hideMark/>
          </w:tcPr>
          <w:p w:rsidR="009F6AB9" w:rsidRDefault="00D156F8">
            <w:pPr>
              <w:spacing w:before="120" w:after="100" w:afterAutospacing="1" w:line="360" w:lineRule="auto"/>
              <w:jc w:val="center"/>
              <w:rPr>
                <w:rFonts w:ascii="Arial" w:eastAsia="Times New Roman" w:hAnsi="Arial" w:cs="Arial"/>
                <w:szCs w:val="28"/>
              </w:rPr>
            </w:pPr>
            <w:r>
              <w:rPr>
                <w:rFonts w:ascii="Arial" w:eastAsia="Times New Roman" w:hAnsi="Arial" w:cs="Arial"/>
                <w:i/>
                <w:iCs/>
                <w:szCs w:val="28"/>
                <w:lang w:val="en-GB"/>
              </w:rPr>
              <w:t>Hà Nội, ngày 22 tháng 8 năm 2014</w:t>
            </w:r>
          </w:p>
        </w:tc>
      </w:tr>
    </w:tbl>
    <w:p w:rsidR="009F6AB9" w:rsidRDefault="009F6AB9">
      <w:pPr>
        <w:spacing w:before="120" w:after="100" w:afterAutospacing="1" w:line="360" w:lineRule="auto"/>
        <w:jc w:val="center"/>
        <w:rPr>
          <w:rFonts w:ascii="Arial" w:eastAsia="Times New Roman" w:hAnsi="Arial" w:cs="Arial"/>
          <w:szCs w:val="28"/>
        </w:rPr>
      </w:pPr>
    </w:p>
    <w:p w:rsidR="009F6AB9" w:rsidRDefault="00D156F8">
      <w:pPr>
        <w:spacing w:before="120" w:line="360" w:lineRule="auto"/>
        <w:rPr>
          <w:rFonts w:ascii="Arial" w:eastAsia="Times New Roman" w:hAnsi="Arial" w:cs="Arial"/>
          <w:szCs w:val="28"/>
        </w:rPr>
      </w:pPr>
      <w:r>
        <w:rPr>
          <w:rFonts w:ascii="Arial" w:eastAsia="Times New Roman" w:hAnsi="Arial" w:cs="Arial"/>
          <w:b/>
          <w:bCs/>
          <w:szCs w:val="28"/>
          <w:lang w:val="en-GB"/>
        </w:rPr>
        <w:t>Kính gửi:</w:t>
      </w:r>
      <w:r>
        <w:rPr>
          <w:rFonts w:ascii="Arial" w:eastAsia="Times New Roman" w:hAnsi="Arial" w:cs="Arial"/>
          <w:szCs w:val="28"/>
          <w:lang w:val="en-GB"/>
        </w:rPr>
        <w:t xml:space="preserve"> Cục Thuế các tỉnh, thành phố trực thuộc Trung ương.</w:t>
      </w:r>
    </w:p>
    <w:p w:rsidR="009F6AB9" w:rsidRDefault="00D156F8">
      <w:pPr>
        <w:spacing w:before="120" w:line="360" w:lineRule="auto"/>
        <w:rPr>
          <w:rFonts w:ascii="Arial" w:eastAsia="Times New Roman" w:hAnsi="Arial" w:cs="Arial"/>
          <w:szCs w:val="28"/>
        </w:rPr>
      </w:pPr>
      <w:r>
        <w:rPr>
          <w:rFonts w:ascii="Arial" w:eastAsia="Times New Roman" w:hAnsi="Arial" w:cs="Arial"/>
          <w:szCs w:val="28"/>
          <w:lang w:val="en-GB"/>
        </w:rPr>
        <w:t>Bộ Tài chính nhận được văn bản của một số doanh nghiệp và Cục Thuế một số tỉnh, thành phố trực thuộc Trung ương phản ánh các vướng mắc khi triển khai thực hiện Công văn số 13706/BTC-TCT ngày 15/10/2013 và Công văn số 1752/BTC-TCT ngày 10/2/2014 của Bộ Tài chính về việc tăng cường quản lý đối với các doanh nghiệp có rủi ro cao về thuế.</w:t>
      </w:r>
    </w:p>
    <w:p w:rsidR="009F6AB9" w:rsidRDefault="00D156F8">
      <w:pPr>
        <w:spacing w:before="120" w:line="360" w:lineRule="auto"/>
        <w:rPr>
          <w:rFonts w:ascii="Arial" w:eastAsia="Times New Roman" w:hAnsi="Arial" w:cs="Arial"/>
          <w:szCs w:val="28"/>
        </w:rPr>
      </w:pPr>
      <w:r>
        <w:rPr>
          <w:rFonts w:ascii="Arial" w:eastAsia="Times New Roman" w:hAnsi="Arial" w:cs="Arial"/>
          <w:szCs w:val="28"/>
          <w:lang w:val="en-GB"/>
        </w:rPr>
        <w:t xml:space="preserve">Để việc triển khai thực hiện được thống nhất và đảm bảo theo đúng quy định pháp luật, tạo điều kiện thuận lợi cho các doanh nghiệp chấp hành tốt pháp luật về thuế. Đồng thời kiên quyết đấu tranh phòng, chống các hành vi vi phạm trong việc chấp hành các quy định về khấu trừ, hoàn thuế GTGT để trốn thuế, chiếm đoạt thuế GTGT. Bộ Tài chính hướng dẫn, bổ sung một số nội dung và yêu cầu Cục Thuế các tỉnh, thành phố trực thuộc Trung ương: </w:t>
      </w:r>
    </w:p>
    <w:p w:rsidR="009F6AB9" w:rsidRDefault="00D156F8">
      <w:pPr>
        <w:spacing w:before="120" w:line="360" w:lineRule="auto"/>
        <w:rPr>
          <w:rFonts w:ascii="Arial" w:eastAsia="Times New Roman" w:hAnsi="Arial" w:cs="Arial"/>
          <w:szCs w:val="28"/>
        </w:rPr>
      </w:pPr>
      <w:r>
        <w:rPr>
          <w:rFonts w:ascii="Arial" w:eastAsia="Times New Roman" w:hAnsi="Arial" w:cs="Arial"/>
          <w:szCs w:val="28"/>
          <w:lang w:val="en-GB"/>
        </w:rPr>
        <w:t>1. Về nguyên tắc xử lý vi phạm phải đảm bảo đúng đối tượng, đúng hành vi, tính chất, mức độ vi phạm và đúng quy định pháp luật; trường hợp liên quan đến các hóa đơn đầu vào đã tổng hợp chuyển cơ quan Công an, thực hiện theo những văn bản,.... của cơ quan Công an</w:t>
      </w:r>
    </w:p>
    <w:p w:rsidR="009F6AB9" w:rsidRDefault="00D156F8">
      <w:pPr>
        <w:spacing w:before="120" w:line="360" w:lineRule="auto"/>
        <w:rPr>
          <w:rFonts w:ascii="Arial" w:eastAsia="Times New Roman" w:hAnsi="Arial" w:cs="Arial"/>
          <w:szCs w:val="28"/>
        </w:rPr>
      </w:pPr>
      <w:r>
        <w:rPr>
          <w:rFonts w:ascii="Arial" w:eastAsia="Times New Roman" w:hAnsi="Arial" w:cs="Arial"/>
          <w:szCs w:val="28"/>
          <w:lang w:val="en-GB"/>
        </w:rPr>
        <w:t xml:space="preserve">2. Về khấu trừ, hoàn thuế GTGT đối với những doanh nghiệp có mua hàng hóa, sử dụng hóa đơn đầu vào trực tiếp của doanh nghiệp và doanh nghiệp trung gian ngừng kinh doanh, bỏ trốn khỏi địa điểm kinh doanh có </w:t>
      </w:r>
      <w:r>
        <w:rPr>
          <w:rFonts w:ascii="Arial" w:eastAsia="Times New Roman" w:hAnsi="Arial" w:cs="Arial"/>
          <w:szCs w:val="28"/>
          <w:lang w:val="en-GB"/>
        </w:rPr>
        <w:lastRenderedPageBreak/>
        <w:t xml:space="preserve">dấu hiệu mua bán hóa đơn bất hợp pháp nhưng chưa có kết luận chính thức của cơ quan thuế hoặc các cơ quan chức năng (bao gồm cả trường hợp phát hiện dấu hiệu vi phạm trước ngày Bộ Tài chính ban hành công văn số 7527/BTC-TCT), thực hiện theo hướng dẫn tại Công văn số 13706/BTC-TCT ngày 15/10/2013 và Công văn số 1752/BTC-CTC ngày 10/2/2014 của Bộ Tài chính: cụ thể đối với một số trường hợp thực hiện như sau: </w:t>
      </w:r>
    </w:p>
    <w:p w:rsidR="009F6AB9" w:rsidRDefault="00D156F8">
      <w:pPr>
        <w:spacing w:before="120" w:line="360" w:lineRule="auto"/>
        <w:rPr>
          <w:rFonts w:ascii="Arial" w:eastAsia="Times New Roman" w:hAnsi="Arial" w:cs="Arial"/>
          <w:szCs w:val="28"/>
        </w:rPr>
      </w:pPr>
      <w:r>
        <w:rPr>
          <w:rFonts w:ascii="Arial" w:eastAsia="Times New Roman" w:hAnsi="Arial" w:cs="Arial"/>
          <w:szCs w:val="28"/>
          <w:lang w:val="en-GB"/>
        </w:rPr>
        <w:t>- Trường hợp doanh nghiệp chưa thực hiện kê khai khấu trừ thuế GTGT thì Cơ quan thuế thông báo bằng văn bản cho doanh nghiệp biết để tạm dừng kê khai khấu trừ thuế GTGT đối với các hóa đơn có dấu hiệu vi phạm pháp luật, chờ kết quả chính thức cơ quan có thẩm quyền. Doanh nghiệp chỉ được thực hiện kê khai khấu trừ thuế GTGT đầu vào đối với các hóa đơn không có dấu hiệu vi phạm pháp luật.</w:t>
      </w:r>
    </w:p>
    <w:p w:rsidR="009F6AB9" w:rsidRDefault="00D156F8">
      <w:pPr>
        <w:spacing w:before="120" w:line="360" w:lineRule="auto"/>
        <w:rPr>
          <w:rFonts w:ascii="Arial" w:eastAsia="Times New Roman" w:hAnsi="Arial" w:cs="Arial"/>
          <w:szCs w:val="28"/>
        </w:rPr>
      </w:pPr>
      <w:r>
        <w:rPr>
          <w:rFonts w:ascii="Arial" w:eastAsia="Times New Roman" w:hAnsi="Arial" w:cs="Arial"/>
          <w:szCs w:val="28"/>
          <w:lang w:val="en-GB"/>
        </w:rPr>
        <w:t>- Trường hợp doanh nghiệp đã kê khai khấu trừ thuế GTGT thì cơ quan thuế thông báo bằng văn bản cho doanh nghiệp biết để kê khai điều chỉnh giảm số thuế GTGT đã khấu trừ. Trường hợp doanh nghiệp khẳng định việc mua bán hàng hóa và hóa đơn GTGT đầu vào sử dụng kê khai khấu trừ là đúng quy định thì doanh nghiệp phải cam kết chịu trách nhiệm trước pháp luật, đồng thời cơ quan thuế phải thực hiện thanh tra, kiểm tra tại doanh nghiệp để kết luận và xử lý vi phạm theo quy định. Trong quá trình thanh tra, kiểm tra phải thực hiện xác minh, đối chiếu với doanh nghiệp có quan hệ mua bán về một số nội dung.</w:t>
      </w:r>
    </w:p>
    <w:p w:rsidR="009F6AB9" w:rsidRDefault="00D156F8">
      <w:pPr>
        <w:spacing w:before="120" w:line="360" w:lineRule="auto"/>
        <w:rPr>
          <w:rFonts w:ascii="Arial" w:eastAsia="Times New Roman" w:hAnsi="Arial" w:cs="Arial"/>
          <w:szCs w:val="28"/>
        </w:rPr>
      </w:pPr>
      <w:r>
        <w:rPr>
          <w:rFonts w:ascii="Arial" w:eastAsia="Times New Roman" w:hAnsi="Arial" w:cs="Arial"/>
          <w:szCs w:val="28"/>
          <w:lang w:val="en-GB"/>
        </w:rPr>
        <w:t>+ Kiểm tra, xác minh về hàng hóa: Hợp đồng mua bán hàng hóa (nếu có); hình thức giao nhận hàng hóa; địa điểm giao nhận hàng hóa; phương tiện vận chuyển hàng hóa; chi phí vận chuyển hàng hóa; chủ sở hữu hàng hóa và nguồn gốc hàng hóa (trước thời điểm giao nhận hàng hóa)</w:t>
      </w:r>
    </w:p>
    <w:p w:rsidR="009F6AB9" w:rsidRDefault="00D156F8">
      <w:pPr>
        <w:spacing w:before="120" w:line="360" w:lineRule="auto"/>
        <w:rPr>
          <w:rFonts w:ascii="Arial" w:eastAsia="Times New Roman" w:hAnsi="Arial" w:cs="Arial"/>
          <w:szCs w:val="28"/>
        </w:rPr>
      </w:pPr>
      <w:r>
        <w:rPr>
          <w:rFonts w:ascii="Arial" w:eastAsia="Times New Roman" w:hAnsi="Arial" w:cs="Arial"/>
          <w:szCs w:val="28"/>
          <w:lang w:val="en-GB"/>
        </w:rPr>
        <w:t>+ Kiểm tra xác minh về thanh toán: Ngân hàng giao dịch; đối tượng nộp tiền vào tài khoản để giao dịch; số lần thực hiện giao dịch; hình thức thanh toán; chứng từ thanh toán.</w:t>
      </w:r>
    </w:p>
    <w:p w:rsidR="009F6AB9" w:rsidRDefault="00D156F8">
      <w:pPr>
        <w:spacing w:before="120" w:line="360" w:lineRule="auto"/>
        <w:rPr>
          <w:rFonts w:ascii="Arial" w:eastAsia="Times New Roman" w:hAnsi="Arial" w:cs="Arial"/>
          <w:szCs w:val="28"/>
        </w:rPr>
      </w:pPr>
      <w:r>
        <w:rPr>
          <w:rFonts w:ascii="Arial" w:eastAsia="Times New Roman" w:hAnsi="Arial" w:cs="Arial"/>
          <w:szCs w:val="28"/>
          <w:lang w:val="en-GB"/>
        </w:rPr>
        <w:lastRenderedPageBreak/>
        <w:t>+ Kiểm tra xác minh về xuất khẩu hàng hóa: Tờ khai hải quan có xác nhận thực xuất của Cơ quan hải quan; chứng từ thanh toán qua ngân hàng; Vận đơn (nếu có).</w:t>
      </w:r>
    </w:p>
    <w:p w:rsidR="009F6AB9" w:rsidRDefault="00D156F8">
      <w:pPr>
        <w:spacing w:before="120" w:line="360" w:lineRule="auto"/>
        <w:rPr>
          <w:rFonts w:ascii="Arial" w:eastAsia="Times New Roman" w:hAnsi="Arial" w:cs="Arial"/>
          <w:szCs w:val="28"/>
        </w:rPr>
      </w:pPr>
      <w:r>
        <w:rPr>
          <w:rFonts w:ascii="Arial" w:eastAsia="Times New Roman" w:hAnsi="Arial" w:cs="Arial"/>
          <w:szCs w:val="28"/>
          <w:lang w:val="en-GB"/>
        </w:rPr>
        <w:t>Qua thanh tra, kiểm tra nếu xác minh được việc mua bán hàng hóa là có thực và đúng với quy định của pháp luật thì giải quyết cho doanh nghiệp được khấu trừ, hoàn thuế GTGT; đồng thời yêu cầu doanh nghiệp cam kết nếu trong các hồ sơ, tài liệu doanh nghiệp xuất trình cho cơ quan Thuế sau này phát hiện có sai phạm, doanh nghiệp phải chịu trách nhiệm trước pháp luật. Trường hợp phát hiện có dấu hiệu vi phạm pháp luật thuế, có dấu hiệu tội phạm thì lập và chuyển hồ sơ cho cơ quan có thẩm quyền để điều tra truy cứu trách nhiệm hình sự.</w:t>
      </w:r>
    </w:p>
    <w:p w:rsidR="009F6AB9" w:rsidRDefault="00D156F8">
      <w:pPr>
        <w:spacing w:before="120" w:line="360" w:lineRule="auto"/>
        <w:rPr>
          <w:rFonts w:ascii="Arial" w:eastAsia="Times New Roman" w:hAnsi="Arial" w:cs="Arial"/>
          <w:szCs w:val="28"/>
        </w:rPr>
      </w:pPr>
      <w:r>
        <w:rPr>
          <w:rFonts w:ascii="Arial" w:eastAsia="Times New Roman" w:hAnsi="Arial" w:cs="Arial"/>
          <w:szCs w:val="28"/>
          <w:lang w:val="en-GB"/>
        </w:rPr>
        <w:t>3. Nếu việc tạm dừng khấu trừ thuế dẫn đến tăng số thuế GTGT phải nộp thì Cơ quan thuế có trách nhiệm tổng hợp, theo dõi các trường hợp này, chưa yêu cầu nộp và chưa tính phạt nộp chậm chờ kết luận chính thức của Cơ quan có thẩm quyền.</w:t>
      </w:r>
    </w:p>
    <w:p w:rsidR="009F6AB9" w:rsidRDefault="00D156F8">
      <w:pPr>
        <w:spacing w:before="120" w:line="360" w:lineRule="auto"/>
        <w:rPr>
          <w:rFonts w:ascii="Arial" w:eastAsia="Times New Roman" w:hAnsi="Arial" w:cs="Arial"/>
          <w:szCs w:val="28"/>
        </w:rPr>
      </w:pPr>
      <w:r>
        <w:rPr>
          <w:rFonts w:ascii="Arial" w:eastAsia="Times New Roman" w:hAnsi="Arial" w:cs="Arial"/>
          <w:szCs w:val="28"/>
          <w:lang w:val="en-GB"/>
        </w:rPr>
        <w:t>4. Để giải quyết khấu trừ, hoàn thuế đối với các trường hợp đã được Cơ quan thuế chuyển hồ sơ sang Cơ quan Công an xử lý, điều tra được kịp thời. Đề nghị Cục Thuế các tỉnh, thành phố trực thuộc Trung ương thực hiện theo đúng trình tự, thủ tục quy định tại điều 103 Bộ Luật Tố tụng hình sự; Thông tư liên tịch số 06/2013/TTLT-BCA-BQP-BTC-BNN&amp;PTNT-VKSNDTC ngày 2/8/2013 hướng dẫn thi hành quy định của Bộ Luật tố tụng hình sự về tiếp nhận, giải quyết tố giác, tin báo về tội phạm và kiến nghị khởi tố; Thông tư liên tịch số 10/2013/TTLT-BTP-BCA-TANDTC-VKSNDTC-BTC ngày 23/6/2013 hướng dẫn áp dụng một số điều của Bộ Luật hình sự về các tội phạm trong lĩnh vực về thuế, tài chính - kế toán và chứng khoán; Công văn số 16465/BTC-PC ngày 27/11/2013 của Bộ Tài chính về việc chuyển hồ sơ cho cơ quan có thẩm quyền để kiến nghị truy cứu trách nhiệm hình sự.</w:t>
      </w:r>
    </w:p>
    <w:p w:rsidR="009F6AB9" w:rsidRDefault="00D156F8">
      <w:pPr>
        <w:spacing w:before="120" w:line="360" w:lineRule="auto"/>
        <w:rPr>
          <w:rFonts w:ascii="Arial" w:eastAsia="Times New Roman" w:hAnsi="Arial" w:cs="Arial"/>
          <w:szCs w:val="28"/>
        </w:rPr>
      </w:pPr>
      <w:r>
        <w:rPr>
          <w:rFonts w:ascii="Arial" w:eastAsia="Times New Roman" w:hAnsi="Arial" w:cs="Arial"/>
          <w:szCs w:val="28"/>
          <w:lang w:val="en-GB"/>
        </w:rPr>
        <w:lastRenderedPageBreak/>
        <w:t>Bộ Tài chính thông báo để Cục thuế các tỉnh, Thành phố trực thuộc trung ương biết và thực hiện; trong quá trình thực hiện khó khăn, vướng mắc báo cáo Bộ Tài chính, Tổng cục Thuế để hướng dẫn, xử lý kịp thời.</w:t>
      </w:r>
    </w:p>
    <w:p w:rsidR="009F6AB9" w:rsidRDefault="00D156F8">
      <w:pPr>
        <w:spacing w:before="120" w:line="360" w:lineRule="auto"/>
        <w:rPr>
          <w:rFonts w:ascii="Arial" w:eastAsia="Times New Roman" w:hAnsi="Arial" w:cs="Arial"/>
          <w:szCs w:val="28"/>
        </w:rPr>
      </w:pPr>
      <w:r>
        <w:rPr>
          <w:rFonts w:ascii="Arial" w:eastAsia="Times New Roman" w:hAnsi="Arial" w:cs="Arial"/>
          <w:szCs w:val="28"/>
          <w:lang w:val="en-GB"/>
        </w:rPr>
        <w:t> </w:t>
      </w:r>
    </w:p>
    <w:tbl>
      <w:tblPr>
        <w:tblW w:w="0" w:type="auto"/>
        <w:tblCellSpacing w:w="0" w:type="dxa"/>
        <w:tblCellMar>
          <w:left w:w="0" w:type="dxa"/>
          <w:right w:w="0" w:type="dxa"/>
        </w:tblCellMar>
        <w:tblLook w:val="04A0" w:firstRow="1" w:lastRow="0" w:firstColumn="1" w:lastColumn="0" w:noHBand="0" w:noVBand="1"/>
      </w:tblPr>
      <w:tblGrid>
        <w:gridCol w:w="4428"/>
        <w:gridCol w:w="4428"/>
      </w:tblGrid>
      <w:tr w:rsidR="009F6AB9">
        <w:trPr>
          <w:tblCellSpacing w:w="0" w:type="dxa"/>
        </w:trPr>
        <w:tc>
          <w:tcPr>
            <w:tcW w:w="4428" w:type="dxa"/>
            <w:tcMar>
              <w:top w:w="0" w:type="dxa"/>
              <w:left w:w="108" w:type="dxa"/>
              <w:bottom w:w="0" w:type="dxa"/>
              <w:right w:w="108" w:type="dxa"/>
            </w:tcMar>
            <w:hideMark/>
          </w:tcPr>
          <w:p w:rsidR="009F6AB9" w:rsidRDefault="00D156F8">
            <w:pPr>
              <w:spacing w:before="120" w:after="100" w:afterAutospacing="1" w:line="360" w:lineRule="auto"/>
              <w:rPr>
                <w:rFonts w:ascii="Arial" w:eastAsia="Times New Roman" w:hAnsi="Arial" w:cs="Arial"/>
                <w:szCs w:val="28"/>
              </w:rPr>
            </w:pPr>
            <w:r>
              <w:rPr>
                <w:rFonts w:ascii="Arial" w:eastAsia="Times New Roman" w:hAnsi="Arial" w:cs="Arial"/>
                <w:szCs w:val="28"/>
              </w:rPr>
              <w:t> </w:t>
            </w:r>
          </w:p>
        </w:tc>
        <w:tc>
          <w:tcPr>
            <w:tcW w:w="4428" w:type="dxa"/>
            <w:tcMar>
              <w:top w:w="0" w:type="dxa"/>
              <w:left w:w="108" w:type="dxa"/>
              <w:bottom w:w="0" w:type="dxa"/>
              <w:right w:w="108" w:type="dxa"/>
            </w:tcMar>
            <w:hideMark/>
          </w:tcPr>
          <w:p w:rsidR="009F6AB9" w:rsidRDefault="00D156F8">
            <w:pPr>
              <w:spacing w:before="120" w:after="100" w:afterAutospacing="1" w:line="360" w:lineRule="auto"/>
              <w:rPr>
                <w:rFonts w:ascii="Arial" w:eastAsia="Times New Roman" w:hAnsi="Arial" w:cs="Arial"/>
                <w:szCs w:val="28"/>
              </w:rPr>
            </w:pPr>
            <w:r>
              <w:rPr>
                <w:rFonts w:ascii="Arial" w:eastAsia="Times New Roman" w:hAnsi="Arial" w:cs="Arial"/>
                <w:b/>
                <w:bCs/>
                <w:szCs w:val="28"/>
                <w:lang w:val="en-GB"/>
              </w:rPr>
              <w:t>KT. BỘ TRƯỞNG</w:t>
            </w:r>
            <w:r>
              <w:rPr>
                <w:rFonts w:ascii="Arial" w:eastAsia="Times New Roman" w:hAnsi="Arial" w:cs="Arial"/>
                <w:b/>
                <w:bCs/>
                <w:szCs w:val="28"/>
                <w:lang w:val="en-GB"/>
              </w:rPr>
              <w:br/>
              <w:t>THỨ TRƯỞNG</w:t>
            </w:r>
            <w:r>
              <w:rPr>
                <w:rFonts w:ascii="Arial" w:eastAsia="Times New Roman" w:hAnsi="Arial" w:cs="Arial"/>
                <w:b/>
                <w:bCs/>
                <w:szCs w:val="28"/>
                <w:lang w:val="en-GB"/>
              </w:rPr>
              <w:br/>
            </w:r>
            <w:r>
              <w:rPr>
                <w:rFonts w:ascii="Arial" w:eastAsia="Times New Roman" w:hAnsi="Arial" w:cs="Arial"/>
                <w:b/>
                <w:bCs/>
                <w:szCs w:val="28"/>
                <w:lang w:val="en-GB"/>
              </w:rPr>
              <w:br/>
            </w:r>
            <w:r>
              <w:rPr>
                <w:rFonts w:ascii="Arial" w:eastAsia="Times New Roman" w:hAnsi="Arial" w:cs="Arial"/>
                <w:b/>
                <w:bCs/>
                <w:szCs w:val="28"/>
                <w:lang w:val="en-GB"/>
              </w:rPr>
              <w:br/>
            </w:r>
            <w:r>
              <w:rPr>
                <w:rFonts w:ascii="Arial" w:eastAsia="Times New Roman" w:hAnsi="Arial" w:cs="Arial"/>
                <w:b/>
                <w:bCs/>
                <w:szCs w:val="28"/>
                <w:lang w:val="en-GB"/>
              </w:rPr>
              <w:br/>
            </w:r>
            <w:r>
              <w:rPr>
                <w:rFonts w:ascii="Arial" w:eastAsia="Times New Roman" w:hAnsi="Arial" w:cs="Arial"/>
                <w:b/>
                <w:bCs/>
                <w:szCs w:val="28"/>
              </w:rPr>
              <w:br/>
            </w:r>
            <w:r>
              <w:rPr>
                <w:rFonts w:ascii="Arial" w:eastAsia="Times New Roman" w:hAnsi="Arial" w:cs="Arial"/>
                <w:b/>
                <w:bCs/>
                <w:szCs w:val="28"/>
                <w:lang w:val="en-GB"/>
              </w:rPr>
              <w:t>Đỗ Hoàng Anh Tuấn</w:t>
            </w:r>
          </w:p>
        </w:tc>
      </w:tr>
    </w:tbl>
    <w:p w:rsidR="009F6AB9" w:rsidRDefault="00D156F8">
      <w:pPr>
        <w:spacing w:before="120" w:line="360" w:lineRule="auto"/>
        <w:rPr>
          <w:rFonts w:ascii="Arial" w:eastAsia="Times New Roman" w:hAnsi="Arial" w:cs="Arial"/>
          <w:szCs w:val="28"/>
        </w:rPr>
      </w:pPr>
      <w:r>
        <w:rPr>
          <w:rFonts w:ascii="Arial" w:eastAsia="Times New Roman" w:hAnsi="Arial" w:cs="Arial"/>
          <w:szCs w:val="28"/>
        </w:rPr>
        <w:t> </w:t>
      </w:r>
    </w:p>
    <w:p w:rsidR="009F6AB9" w:rsidRDefault="009F6AB9">
      <w:pPr>
        <w:spacing w:before="100" w:beforeAutospacing="1" w:after="100" w:afterAutospacing="1" w:line="360" w:lineRule="auto"/>
        <w:rPr>
          <w:rFonts w:ascii="Arial" w:eastAsia="Times New Roman" w:hAnsi="Arial" w:cs="Arial"/>
          <w:szCs w:val="28"/>
        </w:rPr>
      </w:pPr>
    </w:p>
    <w:p w:rsidR="009F6AB9" w:rsidRDefault="009F6AB9">
      <w:pPr>
        <w:spacing w:line="360" w:lineRule="auto"/>
        <w:rPr>
          <w:rFonts w:ascii="Arial" w:hAnsi="Arial" w:cs="Arial"/>
          <w:szCs w:val="28"/>
        </w:rPr>
      </w:pPr>
    </w:p>
    <w:sectPr w:rsidR="009F6AB9" w:rsidSect="009F6AB9">
      <w:headerReference w:type="even" r:id="rId7"/>
      <w:headerReference w:type="default" r:id="rId8"/>
      <w:footerReference w:type="even" r:id="rId9"/>
      <w:footerReference w:type="default" r:id="rId10"/>
      <w:headerReference w:type="first" r:id="rId11"/>
      <w:footerReference w:type="first" r:id="rId12"/>
      <w:pgSz w:w="11907" w:h="16840" w:code="9"/>
      <w:pgMar w:top="1134" w:right="1021" w:bottom="1134" w:left="1701" w:header="454" w:footer="454"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56F8" w:rsidRDefault="00D156F8" w:rsidP="00D156F8">
      <w:pPr>
        <w:spacing w:line="240" w:lineRule="auto"/>
      </w:pPr>
      <w:r>
        <w:separator/>
      </w:r>
    </w:p>
  </w:endnote>
  <w:endnote w:type="continuationSeparator" w:id="0">
    <w:p w:rsidR="00D156F8" w:rsidRDefault="00D156F8" w:rsidP="00D156F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alibri">
    <w:panose1 w:val="020F0502020204030204"/>
    <w:charset w:val="A3"/>
    <w:family w:val="swiss"/>
    <w:pitch w:val="variable"/>
    <w:sig w:usb0="E10002FF" w:usb1="4000ACFF" w:usb2="00000009" w:usb3="00000000" w:csb0="0000019F" w:csb1="00000000"/>
  </w:font>
  <w:font w:name="Tahoma">
    <w:panose1 w:val="020B0604030504040204"/>
    <w:charset w:val="A3"/>
    <w:family w:val="swiss"/>
    <w:pitch w:val="variable"/>
    <w:sig w:usb0="E1002EFF" w:usb1="C000605B" w:usb2="00000029" w:usb3="00000000" w:csb0="000101FF" w:csb1="00000000"/>
  </w:font>
  <w:font w:name="Arial">
    <w:panose1 w:val="020B0604020202020204"/>
    <w:charset w:val="A3"/>
    <w:family w:val="swiss"/>
    <w:pitch w:val="variable"/>
    <w:sig w:usb0="E0002AFF" w:usb1="C0007843" w:usb2="00000009" w:usb3="00000000" w:csb0="000001FF"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56F8" w:rsidRDefault="00D156F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56F8" w:rsidRPr="00E24C7E" w:rsidRDefault="00E24C7E" w:rsidP="00E24C7E">
    <w:pPr>
      <w:pStyle w:val="Footer"/>
      <w:rPr>
        <w:rFonts w:cs="Times New Roman"/>
        <w:b/>
        <w:color w:val="FF0000"/>
        <w:sz w:val="24"/>
      </w:rPr>
    </w:pPr>
    <w:r>
      <w:rPr>
        <w:rFonts w:cs="Times New Roman"/>
        <w:color w:val="FF9900"/>
        <w:sz w:val="24"/>
      </w:rPr>
      <w:t xml:space="preserve">LUẬT SƯ TƯ VẤN PHÁP LUẬT 24/7 GỌI  </w:t>
    </w:r>
    <w:r>
      <w:rPr>
        <w:rFonts w:cs="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56F8" w:rsidRDefault="00D156F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56F8" w:rsidRDefault="00D156F8" w:rsidP="00D156F8">
      <w:pPr>
        <w:spacing w:line="240" w:lineRule="auto"/>
      </w:pPr>
      <w:r>
        <w:separator/>
      </w:r>
    </w:p>
  </w:footnote>
  <w:footnote w:type="continuationSeparator" w:id="0">
    <w:p w:rsidR="00D156F8" w:rsidRDefault="00D156F8" w:rsidP="00D156F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56F8" w:rsidRDefault="00D156F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56F8" w:rsidRPr="00E24C7E" w:rsidRDefault="00E24C7E" w:rsidP="00E24C7E">
    <w:pPr>
      <w:pStyle w:val="Header"/>
      <w:jc w:val="left"/>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56F8" w:rsidRDefault="00D156F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2"/>
  </w:compat>
  <w:rsids>
    <w:rsidRoot w:val="009F6AB9"/>
    <w:rsid w:val="0028490D"/>
    <w:rsid w:val="00414858"/>
    <w:rsid w:val="00494980"/>
    <w:rsid w:val="007B1D6B"/>
    <w:rsid w:val="009A1D11"/>
    <w:rsid w:val="009F6AB9"/>
    <w:rsid w:val="00D156F8"/>
    <w:rsid w:val="00E24C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line="340" w:lineRule="atLeas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6AB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F6AB9"/>
    <w:pPr>
      <w:spacing w:before="100" w:beforeAutospacing="1" w:after="100" w:afterAutospacing="1" w:line="240" w:lineRule="auto"/>
      <w:jc w:val="left"/>
    </w:pPr>
    <w:rPr>
      <w:rFonts w:eastAsia="Times New Roman" w:cs="Times New Roman"/>
      <w:sz w:val="24"/>
      <w:szCs w:val="24"/>
    </w:rPr>
  </w:style>
  <w:style w:type="paragraph" w:styleId="BalloonText">
    <w:name w:val="Balloon Text"/>
    <w:basedOn w:val="Normal"/>
    <w:link w:val="BalloonTextChar"/>
    <w:uiPriority w:val="99"/>
    <w:semiHidden/>
    <w:unhideWhenUsed/>
    <w:rsid w:val="009F6AB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6AB9"/>
    <w:rPr>
      <w:rFonts w:ascii="Tahoma" w:hAnsi="Tahoma" w:cs="Tahoma"/>
      <w:sz w:val="16"/>
      <w:szCs w:val="16"/>
    </w:rPr>
  </w:style>
  <w:style w:type="paragraph" w:styleId="Header">
    <w:name w:val="header"/>
    <w:basedOn w:val="Normal"/>
    <w:link w:val="HeaderChar"/>
    <w:uiPriority w:val="99"/>
    <w:semiHidden/>
    <w:unhideWhenUsed/>
    <w:rsid w:val="00D156F8"/>
    <w:pPr>
      <w:tabs>
        <w:tab w:val="center" w:pos="4513"/>
        <w:tab w:val="right" w:pos="9026"/>
      </w:tabs>
      <w:spacing w:line="240" w:lineRule="auto"/>
    </w:pPr>
  </w:style>
  <w:style w:type="character" w:customStyle="1" w:styleId="HeaderChar">
    <w:name w:val="Header Char"/>
    <w:basedOn w:val="DefaultParagraphFont"/>
    <w:link w:val="Header"/>
    <w:uiPriority w:val="99"/>
    <w:semiHidden/>
    <w:rsid w:val="00D156F8"/>
  </w:style>
  <w:style w:type="paragraph" w:styleId="Footer">
    <w:name w:val="footer"/>
    <w:basedOn w:val="Normal"/>
    <w:link w:val="FooterChar"/>
    <w:uiPriority w:val="99"/>
    <w:semiHidden/>
    <w:unhideWhenUsed/>
    <w:rsid w:val="00D156F8"/>
    <w:pPr>
      <w:tabs>
        <w:tab w:val="center" w:pos="4513"/>
        <w:tab w:val="right" w:pos="9026"/>
      </w:tabs>
      <w:spacing w:line="240" w:lineRule="auto"/>
    </w:pPr>
  </w:style>
  <w:style w:type="character" w:customStyle="1" w:styleId="FooterChar">
    <w:name w:val="Footer Char"/>
    <w:basedOn w:val="DefaultParagraphFont"/>
    <w:link w:val="Footer"/>
    <w:uiPriority w:val="99"/>
    <w:semiHidden/>
    <w:rsid w:val="00D156F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1076998">
      <w:bodyDiv w:val="1"/>
      <w:marLeft w:val="0"/>
      <w:marRight w:val="0"/>
      <w:marTop w:val="0"/>
      <w:marBottom w:val="0"/>
      <w:divBdr>
        <w:top w:val="none" w:sz="0" w:space="0" w:color="auto"/>
        <w:left w:val="none" w:sz="0" w:space="0" w:color="auto"/>
        <w:bottom w:val="none" w:sz="0" w:space="0" w:color="auto"/>
        <w:right w:val="none" w:sz="0" w:space="0" w:color="auto"/>
      </w:divBdr>
    </w:div>
    <w:div w:id="653223970">
      <w:bodyDiv w:val="1"/>
      <w:marLeft w:val="0"/>
      <w:marRight w:val="0"/>
      <w:marTop w:val="0"/>
      <w:marBottom w:val="0"/>
      <w:divBdr>
        <w:top w:val="none" w:sz="0" w:space="0" w:color="auto"/>
        <w:left w:val="none" w:sz="0" w:space="0" w:color="auto"/>
        <w:bottom w:val="none" w:sz="0" w:space="0" w:color="auto"/>
        <w:right w:val="none" w:sz="0" w:space="0" w:color="auto"/>
      </w:divBdr>
      <w:divsChild>
        <w:div w:id="1294362965">
          <w:marLeft w:val="0"/>
          <w:marRight w:val="0"/>
          <w:marTop w:val="0"/>
          <w:marBottom w:val="0"/>
          <w:divBdr>
            <w:top w:val="none" w:sz="0" w:space="0" w:color="auto"/>
            <w:left w:val="none" w:sz="0" w:space="0" w:color="auto"/>
            <w:bottom w:val="none" w:sz="0" w:space="0" w:color="auto"/>
            <w:right w:val="none" w:sz="0" w:space="0" w:color="auto"/>
          </w:divBdr>
        </w:div>
        <w:div w:id="2299663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4</Pages>
  <Words>808</Words>
  <Characters>4606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ghostviet.com</Company>
  <LinksUpToDate>false</LinksUpToDate>
  <CharactersWithSpaces>5404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Carcassonno</dc:creator>
  <cp:lastModifiedBy>LMK</cp:lastModifiedBy>
  <cp:revision>6</cp:revision>
  <dcterms:created xsi:type="dcterms:W3CDTF">2015-02-05T13:33:00Z</dcterms:created>
  <dcterms:modified xsi:type="dcterms:W3CDTF">2020-05-18T06:07:00Z</dcterms:modified>
</cp:coreProperties>
</file>