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w:t>
            </w:r>
            <w:r>
              <w:rPr>
                <w:b/>
              </w:rPr>
              <w:br/>
            </w:r>
            <w:r>
              <w:rPr>
                <w:b/>
              </w:rPr>
              <w:t xml:space="preserve">TỔNG CỤC THUẾ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387TCT/NV6</w:t>
            </w:r>
            <w:r>
              <w:rPr/>
              <w:br/>
            </w:r>
            <w:r>
              <w:rPr>
                <w:i/>
              </w:rPr>
              <w:t xml:space="preserve">V/v Sử dụng hoá đơn, chứng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1 năm 2003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Thương mại-Dịch vụ vi tính Khải Thiên</w:t>
            </w:r>
            <w:r>
              <w:rPr/>
              <w:br/>
            </w:r>
            <w:r>
              <w:t xml:space="preserve">(Đ/c: 384 Nguyễn Thị Minh Khai-Q3-Tp.Hồ Chí Minh)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công văn số 01/1202 ngày 3/12/2002 của Công ty hỏi về việc sử dụng hoá đơn, Tổng cục thuế có ý kiến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điểm 1.1 và điểm 2, Mục II, Phần B Quy trình nghiệp vụ phát hành, quản lý, sử dụng hoá đơn ban hành kèm theo Quyết định số 1126/TCT /QĐ/AC ngày 12/7/2001 của Tổng cục trưởng Tổng cục thuế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lập hoá đơn có thể viết hoặc đánh máy, phải lót giấy than để viết hoặc đánh máy một lần được in sang các liên có nội dung như nhau. Nội dung chỉ tiêu trên hoá đơn phải ghi rõ ràng, đầy đủ, đặc biệt là mã số thuế của người mua hàng. Trường hợp người mua hàng không có mã số thuế thì gạch bỏ các ô ghi mã số thuế trên hoá đơn, gạch chéo phần bỏ trống từ phải sang trái. trường hợp hoá đơn viết sai cần huỷ bỏ thì gạch chéo, đề chữ huỷ bỏ vào các liên của số hoá đơn không được xé rời khỏi cuống. Hoá đơn giao cho khách hàng nhất thiết phải ghi đầy đủ mã số thuế của đơn vị bán, đơn vị mua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đã sử dụng phải được sắp xếp theo thứ tự thời gian sử dụng và lưu trữ theo quy định về lưu trữ của Nhà nước. Trường hợp tháo rời hoá đơn đánh máy hoặc in hoá đơn trên máy tính, các liên lưu của hoá đơn phải được đóng lại thành quyển theo số thứ tự để lưu giữ,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trên, Công ty thực hiện in hoá đơn trên máy vi tính phải tháo rời cả 3 liên ra khỏi cuống, nếu viết sai, cần huỷ bỏ phải thực hiện theo đúng quy định, hoá đơn huỷ phải được lưu cùng với các liên lưu và được đóng lại thành quyển theo số thứ tự, không bị xử lý phạt vi phạm hành chính trong lĩnh vực thuế trong trường hợp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 trả lời để Công ty biết và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TỔNG CỤC TRƯỞNG TỔNG CỤC THUẾ</w:t>
            </w:r>
            <w:r>
              <w:rPr>
                <w:b/>
              </w:rPr>
              <w:br/>
            </w:r>
            <w:r>
              <w:rPr>
                <w:b/>
              </w:rPr>
              <w:t xml:space="preserve">PHÓ TỔNG CỤC TRƯỞNG</w:t>
            </w:r>
            <w:r>
              <w:rPr>
                <w:b/>
              </w:rPr>
              <w:br/>
            </w:r>
            <w:r>
              <w:rPr>
                <w:b/>
              </w:rPr>
              <w:br/>
            </w:r>
            <w:r>
              <w:rPr>
                <w:b/>
              </w:rPr>
              <w:br/>
            </w:r>
            <w:r>
              <w:rPr>
                <w:b/>
              </w:rPr>
              <w:br/>
            </w:r>
            <w:r>
              <w:rPr>
                <w:b/>
              </w:rPr>
              <w:br/>
            </w:r>
            <w:r>
              <w:rPr>
                <w:b/>
              </w:rPr>
              <w:t xml:space="preserve">Phạm Duy Khương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2022-06-22T14:52:49Z</dcterms:created>
  <dcterms:modified xsi:type="dcterms:W3CDTF">2022-06-22T14:52:49Z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2022-06-22T14:52:49Z</dcterms:created>
  <dcterms:modified xsi:type="dcterms:W3CDTF">2022-06-22T14:52:49Z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2022-06-22T14:52:49Z</dcterms:created>
  <dcterms:modified xsi:type="dcterms:W3CDTF">2022-06-22T14:52:49Z</dcterms:modified>
</cp:coreProperties>
</file>