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r/>
            </w:r>
            <w:r>
              <w:t xml:space="preserve"> </w:t>
            </w:r>
            <w:r>
              <w:rPr>
                <w:b/>
              </w:rPr>
              <w:t xml:space="preserve">TỔNG CỤC HẢI QUAN</w:t>
            </w:r>
            <w:r>
              <w:rPr>
                <w:b/>
              </w:rPr>
              <w:br/>
            </w:r>
            <w:r>
              <w:rPr>
                <w:b/>
              </w:rPr>
              <w:t xml:space="preserve">-------</w:t>
            </w:r>
          </w:p>
          <w:p>
            <w:pPr>
              <w:pStyle w:val="Normal(Web)"/>
              <w:divId w:val="2"/>
              <w:jc w:val="center"/>
              <w:rPr>
                <w:vanish w:val="0"/>
              </w:rPr>
            </w:pPr>
            <w:r>
              <w:t xml:space="preserve">Số: 14413/TCHQ-GSQL </w:t>
            </w:r>
            <w:r>
              <w:rPr/>
              <w:br/>
            </w:r>
            <w:r>
              <w:t xml:space="preserve">V/v: Nhập khẩu hàng hóa nhằm mục đích nghiên cứu, phát triển sản phẩm của DNCX</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02 tháng 12 năm 2014</w:t>
            </w:r>
          </w:p>
        </w:tc>
      </w:tr>
    </w:tbl>
    <w:p>
      <w:pPr>
        <w:pStyle w:val="Normal(Web)"/>
        <w:divId w:val="5"/>
        <w:jc w:val="center"/>
        <w:rPr>
          <w:vanish w:val="0"/>
        </w:rPr>
      </w:pPr>
      <w:r>
        <w:rPr>
          <w:b/>
        </w:rPr>
        <w:t xml:space="preserve">Kính gửi:</w:t>
      </w:r>
      <w:r>
        <w:t xml:space="preserve"> Công ty TNHH Y-TEC Việt Nam.</w:t>
      </w:r>
      <w:r>
        <w:rPr/>
        <w:br/>
      </w:r>
      <w:r>
        <w:rPr>
          <w:i/>
        </w:rPr>
        <w:t xml:space="preserve">(Đ/c: số 2 đường 9 VSIP Hải Phòng, Thủy Nguyên, Tp Hải Phòng)</w:t>
      </w:r>
    </w:p>
    <w:p>
      <w:pPr>
        <w:pStyle w:val="Normal(Web)"/>
        <w:divId w:val="6"/>
        <w:rPr>
          <w:vanish w:val="0"/>
        </w:rPr>
      </w:pPr>
      <w:r>
        <w:t xml:space="preserve">Trả lời công văn số 08/YT /XNK ngày 26/11/2014 của Công ty về đề nghị hướng thủ tục nhập khẩu hàng linh kiện, phụ tùng ô tô và mẫu xe ô tô để nhằm mục đích nghiên cứu, phát triển sản phẩm của Công ty tại Việt Nam, Tổng cục Hải quan có ý kiến như sau:</w:t>
      </w:r>
    </w:p>
    <w:p>
      <w:pPr>
        <w:pStyle w:val="Normal(Web)"/>
        <w:divId w:val="7"/>
        <w:rPr>
          <w:vanish w:val="0"/>
        </w:rPr>
      </w:pPr>
      <w:r>
        <w:t xml:space="preserve">1. Về thủ tục hải quan: Trên cơ sở trình bày của Công ty tại công văn dẫn trên, khi nhập khẩu các linh kiện, phụ tùng ô tô, mẫu xe ô tô, Công ty đăng ký tờ khai tại Chi cục Hải quan quản lý doanh nghiệp chế xuất (Chi cục Hải quan KCX, KCN thuộc Cục Hải quan thành phố Hải Phòng) và đăng ký loại hình nhập khẩu của DNCX.</w:t>
      </w:r>
    </w:p>
    <w:p>
      <w:pPr>
        <w:pStyle w:val="Normal(Web)"/>
        <w:divId w:val="8"/>
        <w:rPr>
          <w:vanish w:val="0"/>
        </w:rPr>
      </w:pPr>
      <w:r>
        <w:t xml:space="preserve">Đối với mẫu xe ô tô nhập khẩu để phục vụ lĩnh vực nghiên cứu, phát triển sản phẩm (không sử dụng ngoài khu vực nghiên cứu, phát triển của doanh nghiệp, không đăng ký tham gia lưu thông trên đường) theo quy định tại Thông tư số </w:t>
      </w:r>
      <w:hyperlink r:id="rId3" w:history="1">
        <w:r>
          <w:rPr>
            <w:rStyle w:val="Hyperlink"/>
          </w:rPr>
          <w:t xml:space="preserve">31/2011/TT-BGTVT </w:t>
        </w:r>
      </w:hyperlink>
      <w:r>
        <w:t xml:space="preserve"> ngày 15/4/2011 của Bộ Giao thông vận tải thì xe ô tô nhập khẩu thực hiện các mục đích đặc biệt và không tham gia lưu thông thì không thuộc đối tượng phải thực hiện kiểm tra chất lượng xe cơ giới nhập khẩu.</w:t>
      </w:r>
    </w:p>
    <w:p>
      <w:pPr>
        <w:pStyle w:val="Normal(Web)"/>
        <w:divId w:val="9"/>
        <w:rPr>
          <w:vanish w:val="0"/>
        </w:rPr>
      </w:pPr>
      <w:r>
        <w:t xml:space="preserve">2. Về chính sách thuế: Căn cứ quy định tại Khoản 3 Điều 2 Nghị định số 87/2010/NĐ-CP ngày 13/8/2010, Khoản 20 Điều 5 Luật Thuế giá trị gia tăng thì hàng hóa</w:t>
      </w:r>
      <w:r>
        <w:t xml:space="preserve">nhập khẩu</w:t>
      </w:r>
      <w:r>
        <w:t xml:space="preserve"> từ nước ngoài của DNCX không thuộc đối tượng chịu thuế nhập khẩu và thuế giá trị gia tăng. Khi sử dụng hàng hóa này, Công ty phải có trách nhiệm sử dụng theo đúng mục đích nghiên cứu, sản xuất sản phẩm xuất khẩu không được tiêu thụ tại thị trường Việt Nam.</w:t>
      </w:r>
    </w:p>
    <w:p>
      <w:pPr>
        <w:pStyle w:val="Normal(Web)"/>
        <w:divId w:val="10"/>
        <w:rPr>
          <w:vanish w:val="0"/>
        </w:rPr>
      </w:pPr>
      <w:r>
        <w:t xml:space="preserve">Tổng cục Hải quan trả lời để Công ty biết, thực hiện./.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
              <w:rPr>
                <w:vanish w:val="0"/>
              </w:rPr>
            </w:pPr>
            <w:r>
              <w:rPr>
                <w:b/>
                <w:i/>
              </w:rPr>
              <w:t xml:space="preserve">Nơi nhận:</w:t>
            </w:r>
            <w:r>
              <w:rPr>
                <w:b/>
                <w:i/>
              </w:rPr>
              <w:br/>
            </w:r>
            <w:r>
              <w:rPr>
                <w:b/>
                <w:i/>
              </w:rPr>
              <w:t xml:space="preserve"> </w:t>
            </w:r>
            <w:r>
              <w:t xml:space="preserve">- Như trên;</w:t>
            </w:r>
            <w:r>
              <w:rPr/>
              <w:br/>
            </w:r>
            <w:r>
              <w:t xml:space="preserve">- Cục Hải quan Tp Hải Phòng (để thực hiện);</w:t>
            </w:r>
            <w:r>
              <w:rPr/>
              <w:br/>
            </w:r>
            <w:r>
              <w:t xml:space="preserve">- Cục Hải quan Tp Hà Nội (để thực hiện);</w:t>
            </w:r>
            <w:r>
              <w:rPr/>
              <w:br/>
            </w:r>
            <w:r>
              <w:t xml:space="preserve">- Lưu: VT, GSQL(3b).</w:t>
            </w:r>
          </w:p>
        </w:tc>
        <w:tc>
          <w:tcPr>
            <w:tcW w:w="0" w:type="auto"/>
            <w:shd w:val="clear" w:color="auto" w:fill="auto"/>
            <w:vAlign w:val="center"/>
          </w:tcPr>
          <w:p>
            <w:pPr>
              <w:pStyle w:val="Normal(Web)"/>
              <w:divId w:val="12"/>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Vũ Ngọc 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1-2011-tt-bgtvt-cua-bo-giao-thong-van-tai---quy-dinh-ve-kiem-tra-chat-luong-an-toan-ky-thuat-va-bao-ve-moi-truong-xe-co-gioi-nhap-kh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2022-06-21T17:00:31Z</dcterms:created>
  <dcterms:modified xsi:type="dcterms:W3CDTF">2022-06-21T17:00:31Z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2022-06-21T17:00:31Z</dcterms:created>
  <dcterms:modified xsi:type="dcterms:W3CDTF">2022-06-21T17:00:31Z</dcterms:modified>
</cp:coreProperties>
</file>