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602CC" w14:paraId="7B1F4F5A" w14:textId="77777777" w:rsidTr="009602C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0B48A" w14:textId="77777777" w:rsidR="009602CC" w:rsidRDefault="0096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AE3BB" w14:textId="77777777" w:rsidR="009602CC" w:rsidRDefault="0096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602CC" w14:paraId="40467957" w14:textId="77777777" w:rsidTr="009602C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42867" w14:textId="77777777" w:rsidR="009602CC" w:rsidRDefault="009602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110/2015/QH13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EE93D" w14:textId="77777777" w:rsidR="009602CC" w:rsidRDefault="009602C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11 năm 2015</w:t>
            </w:r>
          </w:p>
        </w:tc>
      </w:tr>
    </w:tbl>
    <w:p w14:paraId="6AA9D093" w14:textId="77777777" w:rsidR="009602CC" w:rsidRDefault="009602CC" w:rsidP="009602CC">
      <w:pPr>
        <w:pStyle w:val="NormalWeb"/>
        <w:spacing w:after="90" w:afterAutospacing="0" w:line="345" w:lineRule="atLeast"/>
        <w:jc w:val="both"/>
        <w:rPr>
          <w:rFonts w:ascii="Arial" w:hAnsi="Arial" w:cs="Arial"/>
          <w:color w:val="000000"/>
          <w:sz w:val="21"/>
          <w:szCs w:val="21"/>
        </w:rPr>
      </w:pPr>
    </w:p>
    <w:p w14:paraId="0FB38CAB" w14:textId="77777777" w:rsidR="009602CC" w:rsidRDefault="009602CC" w:rsidP="0096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762839DC" w14:textId="77777777" w:rsidR="009602CC" w:rsidRDefault="009602CC" w:rsidP="009602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THI HÀNH BỘ LUẬT TỐ TỤNG HÌNH SỰ</w:t>
      </w:r>
    </w:p>
    <w:p w14:paraId="0040A08A" w14:textId="77777777" w:rsidR="009602CC" w:rsidRDefault="009602CC" w:rsidP="0096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NƯỚC CỘNG HÒA XÃ HỘI CHỦ NGHĨA VIỆT NAM</w:t>
      </w:r>
    </w:p>
    <w:p w14:paraId="4A5B8C19"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351A7D3E" w14:textId="77777777" w:rsidR="009602CC" w:rsidRDefault="009602CC" w:rsidP="0096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54437370"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3AB06734"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Bộ luật tố tụng hình sự số 101/2015/QH13 (sau đây gọi là </w:t>
      </w:r>
      <w:hyperlink r:id="rId6" w:history="1">
        <w:r>
          <w:rPr>
            <w:rStyle w:val="Hyperlink"/>
            <w:rFonts w:ascii="Arial" w:hAnsi="Arial" w:cs="Arial"/>
            <w:color w:val="135ECD"/>
            <w:sz w:val="21"/>
            <w:szCs w:val="21"/>
          </w:rPr>
          <w:t>Bộ luật tố tụng hình sự năm 2015</w:t>
        </w:r>
      </w:hyperlink>
      <w:r>
        <w:rPr>
          <w:rFonts w:ascii="Arial" w:hAnsi="Arial" w:cs="Arial"/>
          <w:color w:val="000000"/>
          <w:sz w:val="21"/>
          <w:szCs w:val="21"/>
        </w:rPr>
        <w:t>) có hiệu lực thi hành (ngày 01 tháng 7 năm 2016):</w:t>
      </w:r>
    </w:p>
    <w:p w14:paraId="1C7415BA"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những vụ án do Cơ quan điều tra, cơ quan được giao nhiệm vụ tiến hành một số hoạt động điều tra, Viện kiểm sát, Tòa án đang thụ lý, giải quyết theo thẩm quyền quy định tại Bộ luật tố tụng hình sự số 19/2003/QH11 (sau đây gọi là Bộ luật tố tụng hình sự năm 2003) nhưng đến ngày 01 tháng 7 năm 2016 chưa kết thúc thì thẩm quyền giải quyết tiếp tục được áp dụng theo quy định của Bộ luật tố tụng hình sự năm 2003 cho đến khi kết thúc vụ án, còn các vấn đề khác được thực hiện theo quy định của Bộ luật tố tụng hình sự năm 2015;</w:t>
      </w:r>
    </w:p>
    <w:p w14:paraId="2C724043"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tố giác, tin báo về tội phạm, kiến nghị khởi tố đang trong quá trình kiểm tra, xác minh nhưng đến ngày 01 tháng 7 năm 2016 chưa kết thúc thì thời hạn giải quyết được tính theo thời hạn của Bộ luật tố tụng hình sự năm 2015;</w:t>
      </w:r>
    </w:p>
    <w:p w14:paraId="36180CF4"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bị can, bị cáo đang bị tạm giam theo quy định của Bộ luật tố tụng hình sự năm 2003 nhưng đến ngày 01 tháng 7 năm 2016 không được tạm giam theo quy định của Bộ luật tố tụng hình sự năm 2015 hoặc thời hạn tạm giam vượt quá thời hạn theo quy định của Bộ luật tố tụng hình sự năm 2015 thì Viện kiểm sát, Tòa án quyết định hủy bỏ biện pháp tạm giam đang áp dụng hoặc thay thế bằng biện pháp ngăn chặn khác theo quy định của Bộ luật tố tụng hình sự năm 2015;</w:t>
      </w:r>
    </w:p>
    <w:p w14:paraId="53B5B279"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những vụ án hình sự do cơ quan được giao nhiệm vụ tiến hành một số hoạt động điều tra đang tiến hành điều tra nhưng đến ngày 01 tháng 7 năm 2016 chưa kết thúc điều tra thì thời hạn điều tra được thực hiện theo quy định của Bộ luật tố tụng hình sự năm 2015;</w:t>
      </w:r>
    </w:p>
    <w:p w14:paraId="7C8CB0E2"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những vụ án hình sự đang trong quá trình điều tra, truy tố, xét xử theo thủ tục rút gọn nhưng đến ngày 01 tháng 7 năm 2016 chưa kết thúc điều tra, chưa quyết định việc truy tố hoặc chưa đưa vụ án ra xét xử sơ thẩm thì thời hạn điều tra, truy tố, xét xử được tính theo thời hạn của Bộ luật tố tụng hình sự năm 2015.</w:t>
      </w:r>
    </w:p>
    <w:p w14:paraId="3C6AC1A4"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bản án sơ thẩm chưa có hiệu lực pháp luật bị kháng cáo, kháng nghị trước ngày 01 tháng 7 năm 2016 và thuộc trường hợp quy định tại khoản 2 Điều 456 của Bộ luật tố tụng hình sự năm 2015 nhưng kể từ ngày 01 tháng 7 năm 2016 mới xét xử thì áp dụng thủ tục rút gọn theo quy định của Bộ luật tố tụng hình sự năm 2015 để giải quyết;</w:t>
      </w:r>
    </w:p>
    <w:p w14:paraId="66938E03"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những vụ án hình sự đã xét xử sơ thẩm theo quy định tại Bộ luật tố tụng hình sự năm 2003 mà có kháng cáo, kháng nghị trước ngày 01 tháng 7 năm 2016 nhưng kể từ ngày 01 tháng 7 năm 2016 mới xét xử phúc thẩm thì áp dụng Bộ luật tố tụng hình sự năm 2015 để giải quyết.</w:t>
      </w:r>
    </w:p>
    <w:p w14:paraId="45BBF656"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bản án, quyết định của Tòa án đã có hiệu lực pháp luật theo quy định tại Bộ luật tố tụng hình sự năm 2003 mà có kháng nghị giám đốc thẩm, tái thẩm trước ngày 01 tháng 7 năm 2016 nhưng chưa giải quyết hoặc kể từ ngày 01 tháng 7 năm 2016 mới có kháng nghị giám đốc thẩm, tái thẩm thì áp dụng Bộ luật tố tụng hình sự năm 2015 để giải quyết;</w:t>
      </w:r>
    </w:p>
    <w:p w14:paraId="56E614A3"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những trường hợp đã được cấp giấy chứng nhận người bào chữa theo quy định của </w:t>
      </w:r>
      <w:hyperlink r:id="rId7" w:history="1">
        <w:r>
          <w:rPr>
            <w:rStyle w:val="Hyperlink"/>
            <w:rFonts w:ascii="Arial" w:hAnsi="Arial" w:cs="Arial"/>
            <w:color w:val="135ECD"/>
            <w:sz w:val="21"/>
            <w:szCs w:val="21"/>
          </w:rPr>
          <w:t>Bộ luật tố tụng hình sự năm 2003</w:t>
        </w:r>
      </w:hyperlink>
      <w:r>
        <w:rPr>
          <w:rFonts w:ascii="Arial" w:hAnsi="Arial" w:cs="Arial"/>
          <w:color w:val="000000"/>
          <w:sz w:val="21"/>
          <w:szCs w:val="21"/>
        </w:rPr>
        <w:t> thì người bào chữa tiếp tục sử dụng cho đến khi kết thúc việc bào chữa;</w:t>
      </w:r>
    </w:p>
    <w:p w14:paraId="53B2916C"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Tòa án tiếp tục áp dụng các quy định pháp luật hiện hành về án phí, lệ phí Tòa án và các chi phí tố tụng khác cho đến khi có quy định mới của cơ quan có thẩm quyền.</w:t>
      </w:r>
    </w:p>
    <w:p w14:paraId="0481BEC5"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00803994"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Chính phủ đầu tư kinh phí để bảo đảm việc thực hiện các quy định về chỉ định người bào chữa, ghi âm hoặc ghi hình có âm thanh việc hỏi cung bị can, sao chép, số hóa tài liệu trong hồ sơ vụ án hình sự, giám định tư pháp và hoạt động điều tra, truy tố, xét xử, thi hành án.</w:t>
      </w:r>
    </w:p>
    <w:p w14:paraId="522D841C"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Bộ trưởng Bộ Công an chủ trì, phối hợp với Bộ trưởng Bộ Quốc phòng, Viện trưởng Viện kiểm sát nhân dân tối cao và Chánh án Tòa án nhân dân tối cao hướng dẫn trình tự, thủ tục thực hiện ghi âm hoặc ghi hình có âm thanh việc hỏi cung bị can; sử dụng, bảo quản, lưu trữ kết quả ghi âm hoặc ghi hình có âm thanh việc hỏi cung bị can trong quá trình điều tra, truy tố, xét xử.</w:t>
      </w:r>
    </w:p>
    <w:p w14:paraId="3731F97F"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Giao Bộ trưởng Bộ Công an chủ trì, phối hợp với Viện trưởng Viện kiểm sát nhân dân tối cao, Chánh án Tòa án nhân dân tối cao, Bộ trưởng Bộ Quốc phòng, Bộ trưởng Bộ Kế hoạch và Đầu tư, Bộ trưởng Bộ Tài chính và Bộ trưởng Bộ Nội vụ xây dựng đề án về cơ sở vật chất, bộ máy, </w:t>
      </w:r>
      <w:r>
        <w:rPr>
          <w:rFonts w:ascii="Arial" w:hAnsi="Arial" w:cs="Arial"/>
          <w:color w:val="000000"/>
          <w:sz w:val="21"/>
          <w:szCs w:val="21"/>
        </w:rPr>
        <w:lastRenderedPageBreak/>
        <w:t>cán bộ và lộ trình cụ thể thực hiện việc ghi âm hoặc ghi hình có âm thanh việc hỏi cung bị can theo quy định của Bộ luật tố tụng hình sự năm 2015.</w:t>
      </w:r>
    </w:p>
    <w:p w14:paraId="133D3B7B"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Bộ trưởng Bộ Công an quyết định cụ thể nơi có điều kiện để thực hiện việc ghi âm hoặc ghi hình có âm thanh hoạt động hỏi cung bị can kể từ ngày 01 tháng 7 năm 2016. Chậm nhất đến ngày 01 tháng 01 năm 2019 thì thực hiện thống nhất việc ghi âm hoặc ghi hình có âm thanh việc hỏi cung bị can trên phạm vi toàn quốc.</w:t>
      </w:r>
    </w:p>
    <w:p w14:paraId="2F1F95F5"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Chính phủ, Tòa án nhân dân tối cao, Viện kiểm sát nhân dân tối cao trong phạm vi chức năng, nhiệm vụ, quyền hạn của mình, tự mình hoặc phối hợp với các cơ quan hữu quan tổ chức việc rà soát các văn bản quy định chi tiết và hướng dẫn thi hành Bộ luật tố tụng hình sự năm 2003 để bãi bỏ, sửa đổi, bổ sung hoặc ban hành văn bản mới; đề nghị Quốc hội, Ủy ban thường vụ Quốc hội và các cơ quan hữu quan bãi bỏ, sửa đổi, bổ sung hoặc ban hành văn bản mới cho phù hợp với quy định của Bộ luật tố tụng hình sự năm 2015.</w:t>
      </w:r>
    </w:p>
    <w:p w14:paraId="69C89B4A"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Tòa án nhân dân tối cao, Viện kiểm sát nhân dân tối cao trong phạm vi chức năng, nhiệm vụ, quyền hạn của mình khẩn trương kiện toàn tổ chức bộ máy, cán bộ, công chức, cơ sở vật chất; bổ sung, đào tạo, bồi dưỡng nghiệp vụ đối với đội ngũ cán bộ, công chức của Cơ quan điều tra, Tòa án nhân dân, Viện kiểm sát nhân dân, cơ quan thi hành án và các cơ quan bổ trợ tư pháp; bổ sung các điều kiện cần thiết khác để bảo đảm đáp ứng yêu cầu giải quyết các vụ án hình sự và thi hành án hình sự khi Bộ luật tố tụng hình sự năm 2015 có hiệu lực thi hành; phối hợp với Ủy ban trung ương Mặt trận Tổ quốc Việt Nam và các tổ chức thành viên của Mặt trận tuyên truyền, phổ biến rộng rãi Bộ luật tố tụng hình sự năm 2015 trong cán bộ, công chức, viên chức và Nhân dân nhằm phát huy hiệu quả của Bộ luật này trong đấu tranh phòng, chống tội phạm.</w:t>
      </w:r>
    </w:p>
    <w:p w14:paraId="4FFA4411"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4F122661"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Viện kiểm sát nhân dân tối cao, Tòa án nhân dân tối cao có trách nhiệm thực hiện và hướng dẫn thi hành Nghị quyết này.</w:t>
      </w:r>
    </w:p>
    <w:p w14:paraId="065727CA" w14:textId="77777777" w:rsidR="009602CC" w:rsidRDefault="009602CC" w:rsidP="009602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quyết này đã được Quốc hội nước Cộng hòa xã hội chủ nghĩa Việt Nam khóa XIII, kỳ họp thứ 10 thông qua ngày 27 tháng 11 năm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9602CC" w14:paraId="5EBDF7D9" w14:textId="77777777" w:rsidTr="009602C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E2DF9" w14:textId="77777777" w:rsidR="009602CC" w:rsidRDefault="009602CC">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68F22" w14:textId="77777777" w:rsidR="009602CC" w:rsidRDefault="009602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2970E0C6" w14:textId="77777777" w:rsidR="00FF1046" w:rsidRPr="009602CC" w:rsidRDefault="00FF1046" w:rsidP="009602CC"/>
    <w:sectPr w:rsidR="00FF1046" w:rsidRPr="009602CC"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602CC"/>
    <w:rsid w:val="0098583A"/>
    <w:rsid w:val="009E05EC"/>
    <w:rsid w:val="00A12672"/>
    <w:rsid w:val="00A22854"/>
    <w:rsid w:val="00A500B7"/>
    <w:rsid w:val="00A66AE2"/>
    <w:rsid w:val="00AA2785"/>
    <w:rsid w:val="00AD510C"/>
    <w:rsid w:val="00AE2FA1"/>
    <w:rsid w:val="00AE6849"/>
    <w:rsid w:val="00B77555"/>
    <w:rsid w:val="00BB3DE5"/>
    <w:rsid w:val="00BC380D"/>
    <w:rsid w:val="00BE52A9"/>
    <w:rsid w:val="00C057F7"/>
    <w:rsid w:val="00C74E8B"/>
    <w:rsid w:val="00C92923"/>
    <w:rsid w:val="00CA02C8"/>
    <w:rsid w:val="00CB4E9D"/>
    <w:rsid w:val="00CF071E"/>
    <w:rsid w:val="00D00F46"/>
    <w:rsid w:val="00D073B2"/>
    <w:rsid w:val="00D24FBD"/>
    <w:rsid w:val="00D81F21"/>
    <w:rsid w:val="00D94A94"/>
    <w:rsid w:val="00DD068A"/>
    <w:rsid w:val="00DF1952"/>
    <w:rsid w:val="00E531BC"/>
    <w:rsid w:val="00E562F1"/>
    <w:rsid w:val="00E7520C"/>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thong-tu-01-2006-tt-bca-c11-thuc-hien-noi-dung-dieu-35-bo-luat-to-tung-hinh-su-nam-200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bo-luat-to-tung-hinh-su-nam-2015.aspx" TargetMode="External"/><Relationship Id="rId5" Type="http://schemas.openxmlformats.org/officeDocument/2006/relationships/hyperlink" Target="https://admin.luatminhkhue.vn/hien-phap-nam-2013.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95</cp:revision>
  <dcterms:created xsi:type="dcterms:W3CDTF">2024-11-15T17:25:00Z</dcterms:created>
  <dcterms:modified xsi:type="dcterms:W3CDTF">2024-12-04T18:56:00Z</dcterms:modified>
</cp:coreProperties>
</file>