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B</w:t>
            </w:r>
            <w:r>
              <w:t xml:space="preserve">Ộ</w:t>
            </w:r>
            <w:r>
              <w:t xml:space="preserve"> TÀI CHÍNH</w:t>
            </w:r>
            <w:r>
              <w:rPr>
                <w:b/>
              </w:rPr>
              <w:t xml:space="preserve">T</w:t>
            </w:r>
            <w:r>
              <w:rPr>
                <w:b/>
              </w:rPr>
              <w:t xml:space="preserve">Ổ</w:t>
            </w:r>
            <w:r>
              <w:rPr>
                <w:b/>
              </w:rPr>
              <w:t xml:space="preserve">NG CỤC HẢI QUAN</w:t>
            </w:r>
            <w:r>
              <w:rPr>
                <w:b/>
              </w:rPr>
              <w:br/>
            </w:r>
            <w:r>
              <w:rPr>
                <w:b/>
              </w:rPr>
              <w:t xml:space="preserve">-------</w:t>
            </w:r>
          </w:p>
          <w:p>
            <w:pPr>
              <w:pStyle w:val="Normal(Web)"/>
              <w:divId w:val="2"/>
              <w:jc w:val="center"/>
              <w:rPr>
                <w:vanish w:val="0"/>
              </w:rPr>
            </w:pPr>
            <w:r>
              <w:t xml:space="preserve">S</w:t>
            </w:r>
            <w:r>
              <w:t xml:space="preserve">ố: 1</w:t>
            </w:r>
            <w:r>
              <w:t xml:space="preserve"> 0763/TCHQ-GSQL </w:t>
            </w:r>
          </w:p>
          <w:p>
            <w:pPr>
              <w:pStyle w:val="Normal(Web)"/>
              <w:divId w:val="3"/>
              <w:rPr>
                <w:vanish w:val="0"/>
              </w:rPr>
            </w:pPr>
            <w:r>
              <w:t xml:space="preserve">V/v</w:t>
            </w:r>
            <w:r>
              <w:t xml:space="preserve">:V</w:t>
            </w:r>
            <w:r>
              <w:t xml:space="preserve">ướn</w:t>
            </w:r>
            <w:r>
              <w:t xml:space="preserve">g</w:t>
            </w:r>
            <w:r>
              <w:t xml:space="preserve"> mắc thực hiện Quyết định s</w:t>
            </w:r>
            <w:r>
              <w:t xml:space="preserve">ố</w:t>
            </w:r>
            <w:r>
              <w:t xml:space="preserve"> 31/2015/QĐ-TTg </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
              <w:jc w:val="right"/>
              <w:rPr>
                <w:vanish w:val="0"/>
              </w:rPr>
            </w:pPr>
            <w:r>
              <w:rPr>
                <w:i/>
              </w:rPr>
              <w:t xml:space="preserve">Hà Nội, ngày 17 tháng 11 năm 2015</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
              <w:jc w:val="right"/>
              <w:rPr>
                <w:vanish w:val="0"/>
              </w:rPr>
            </w:pPr>
            <w:r>
              <w:rPr>
                <w:b/>
              </w:rPr>
              <w:t xml:space="preserve">Kính gửi:</w:t>
            </w:r>
          </w:p>
        </w:tc>
        <w:tc>
          <w:tcPr>
            <w:tcW w:w="0" w:type="auto"/>
            <w:shd w:val="clear" w:color="auto" w:fill="auto"/>
            <w:vAlign w:val="center"/>
          </w:tcPr>
          <w:p>
            <w:pPr>
              <w:pStyle w:val="Normal(Web)"/>
              <w:divId w:val="7"/>
              <w:rPr>
                <w:vanish w:val="0"/>
              </w:rPr>
            </w:pPr>
            <w:r>
              <w:t xml:space="preserve">- </w:t>
            </w:r>
            <w:r>
              <w:t xml:space="preserve">Cục Hải quan các tỉnh, thành phố;</w:t>
            </w:r>
            <w:r>
              <w:rPr/>
              <w:br/>
            </w:r>
            <w:r>
              <w:t xml:space="preserve">- Công ty CP Chuyển phát nhanh Bưu điện.</w:t>
            </w:r>
            <w:r>
              <w:rPr/>
              <w:br/>
            </w:r>
            <w:r>
              <w:t xml:space="preserve"> </w:t>
            </w:r>
            <w:r>
              <w:rPr>
                <w:i/>
              </w:rPr>
              <w:t xml:space="preserve">(Đ/c: Số 1 Tân Xuân, Xuân Đỉnh, Từ Liêm, HN)</w:t>
            </w:r>
          </w:p>
        </w:tc>
      </w:tr>
    </w:tbl>
    <w:p>
      <w:pPr>
        <w:pStyle w:val="Normal(Web)"/>
        <w:divId w:val="8"/>
        <w:rPr>
          <w:vanish w:val="0"/>
        </w:rPr>
      </w:pPr>
      <w:r>
        <w:t xml:space="preserve">Tổng cục Hải quan nhận được công văn số 2200/NV ngày 02/10/2015 của Công ty Cổ phần Chuyển phát nhanh Bưu điện và báo cáo vướng mắc của Cục Hải quan thành phố Hồ Chí Minh về việc thực hiện Quyết định số 31/2015/QĐ-TTg ngày 04/08/2015 của Thủ tướng Chính phủ</w:t>
      </w:r>
      <w:r>
        <w:t xml:space="preserve">,</w:t>
      </w:r>
      <w:r>
        <w:t xml:space="preserve"> về việc này, Tổng cục Hải quan hướng </w:t>
      </w:r>
      <w:r>
        <w:t xml:space="preserve">d</w:t>
      </w:r>
      <w:r>
        <w:t xml:space="preserve">ẫn thực hiện như sau:</w:t>
      </w:r>
    </w:p>
    <w:p>
      <w:pPr>
        <w:pStyle w:val="Normal(Web)"/>
        <w:divId w:val="9"/>
        <w:rPr>
          <w:vanish w:val="0"/>
        </w:rPr>
      </w:pPr>
      <w:r>
        <w:t xml:space="preserve">1. Quản lý the</w:t>
      </w:r>
      <w:r>
        <w:t xml:space="preserve">o</w:t>
      </w:r>
      <w:r>
        <w:t xml:space="preserve"> dõi đối với trường hợp </w:t>
      </w:r>
      <w:r>
        <w:rPr>
          <w:i/>
        </w:rPr>
        <w:t xml:space="preserve">tổ chức, c</w:t>
      </w:r>
      <w:r>
        <w:rPr>
          <w:i/>
        </w:rPr>
        <w:t xml:space="preserve">á</w:t>
      </w:r>
      <w:r>
        <w:rPr>
          <w:i/>
        </w:rPr>
        <w:t xml:space="preserve"> nhân thường xuyên nhận một hay </w:t>
      </w:r>
      <w:r>
        <w:rPr>
          <w:i/>
        </w:rPr>
        <w:t xml:space="preserve">một số mặt </w:t>
      </w:r>
      <w:r>
        <w:rPr>
          <w:i/>
        </w:rPr>
        <w:t xml:space="preserve">hàng nhất định</w:t>
      </w:r>
      <w:r>
        <w:t xml:space="preserve">quy định tại khoản 6 Điều 5 Quyết định số 31/2015/QĐ-TTg :</w:t>
      </w:r>
    </w:p>
    <w:p>
      <w:pPr>
        <w:pStyle w:val="Normal(Web)"/>
        <w:divId w:val="10"/>
        <w:rPr>
          <w:vanish w:val="0"/>
        </w:rPr>
      </w:pPr>
      <w:r>
        <w:t xml:space="preserve">a. Trong kh</w:t>
      </w:r>
      <w:r>
        <w:t xml:space="preserve">i chờ </w:t>
      </w:r>
      <w:r>
        <w:t xml:space="preserve">T</w:t>
      </w:r>
      <w:r>
        <w:t xml:space="preserve">ổ</w:t>
      </w:r>
      <w:r>
        <w:t xml:space="preserve">ng cục Hải quan xây dựng phần m</w:t>
      </w:r>
      <w:r>
        <w:t xml:space="preserve">ề</w:t>
      </w:r>
      <w:r>
        <w:t xml:space="preserve">m quản lý đ</w:t>
      </w:r>
      <w:r>
        <w:t xml:space="preserve">ố</w:t>
      </w:r>
      <w:r>
        <w:t xml:space="preserve">i với trường hợp trên, </w:t>
      </w:r>
      <w:r>
        <w:t xml:space="preserve">yêu cầu</w:t>
      </w:r>
      <w:r>
        <w:t xml:space="preserve"> Cục H</w:t>
      </w:r>
      <w:r>
        <w:t xml:space="preserve">ả</w:t>
      </w:r>
      <w:r>
        <w:t xml:space="preserve">i quan các tỉnh, thành phố tự tổ chức theo dõi s</w:t>
      </w:r>
      <w:r>
        <w:t xml:space="preserve">ố</w:t>
      </w:r>
      <w:r>
        <w:t xml:space="preserve"> lần nhận của các trườn</w:t>
      </w:r>
      <w:r>
        <w:t xml:space="preserve">g hợp là</w:t>
      </w:r>
      <w:r>
        <w:t xml:space="preserve"> tổ chức, cá nhân thường xuyên nhận quà biếu, quà tặng.</w:t>
      </w:r>
    </w:p>
    <w:p>
      <w:pPr>
        <w:pStyle w:val="Normal(Web)"/>
        <w:divId w:val="11"/>
        <w:rPr>
          <w:vanish w:val="0"/>
        </w:rPr>
      </w:pPr>
      <w:r>
        <w:t xml:space="preserve">b. Tổ chức, cá nhân thường xuyên nhận một hay một số mặt hàng nhất định được hi</w:t>
      </w:r>
      <w:r>
        <w:t xml:space="preserve">ể</w:t>
      </w:r>
      <w:r>
        <w:t xml:space="preserve">u:</w:t>
      </w:r>
    </w:p>
    <w:p>
      <w:pPr>
        <w:pStyle w:val="Normal(Web)"/>
        <w:divId w:val="12"/>
        <w:rPr>
          <w:vanish w:val="0"/>
        </w:rPr>
      </w:pPr>
      <w:r>
        <w:t xml:space="preserve">- Nhiều người trong một địa chỉ cùng nhận một hay một số loại mặt hàng trong cùng một lô hàng; hoặc</w:t>
      </w:r>
    </w:p>
    <w:p>
      <w:pPr>
        <w:pStyle w:val="Normal(Web)"/>
        <w:divId w:val="13"/>
        <w:rPr>
          <w:vanish w:val="0"/>
        </w:rPr>
      </w:pPr>
      <w:r>
        <w:t xml:space="preserve">- Một tổ chức/cá nhân nhận từ 02 lần trở lên trong một tháng cùng một hay một s</w:t>
      </w:r>
      <w:r>
        <w:t xml:space="preserve">ố</w:t>
      </w:r>
      <w:r>
        <w:t xml:space="preserve"> loại mặt hàng.</w:t>
      </w:r>
    </w:p>
    <w:p>
      <w:pPr>
        <w:pStyle w:val="Normal(Web)"/>
        <w:divId w:val="14"/>
        <w:rPr>
          <w:vanish w:val="0"/>
        </w:rPr>
      </w:pPr>
      <w:r>
        <w:t xml:space="preserve">2. Vướng mắc về hàng hóa thuộc Danh mục hàng chịu thuế tiêu thụ đặc biệt là quà biếu, quà tặng:</w:t>
      </w:r>
    </w:p>
    <w:p>
      <w:pPr>
        <w:pStyle w:val="Normal(Web)"/>
        <w:divId w:val="15"/>
        <w:rPr>
          <w:vanish w:val="0"/>
        </w:rPr>
      </w:pPr>
      <w:r>
        <w:t xml:space="preserve">Quyết định 3</w:t>
      </w:r>
      <w:r>
        <w:t xml:space="preserve">1</w:t>
      </w:r>
      <w:r>
        <w:t xml:space="preserve">/ 2015/QĐ-TTg ngày 04/08/2015 của Thủ tướng Chính phủ không hạn ch</w:t>
      </w:r>
      <w:r>
        <w:t xml:space="preserve">ế</w:t>
      </w:r>
      <w:r>
        <w:t xml:space="preserve"> việc nhập khẩu quà bi</w:t>
      </w:r>
      <w:r>
        <w:t xml:space="preserve">ế</w:t>
      </w:r>
      <w:r>
        <w:t xml:space="preserve">u tặng đối với những mặt hàng thuộc danh mục mặt hàng chịu thuế tiêu thụ đặc biệt, nhưng sẽ không được áp dụng tiêu chu</w:t>
      </w:r>
      <w:r>
        <w:t xml:space="preserve">ẩ</w:t>
      </w:r>
      <w:r>
        <w:t xml:space="preserve">n định mức miễn thuế và phải thực hiện các quy định về chính sách mặt hàng.</w:t>
      </w:r>
    </w:p>
    <w:p>
      <w:pPr>
        <w:pStyle w:val="Normal(Web)"/>
        <w:divId w:val="16"/>
        <w:rPr>
          <w:vanish w:val="0"/>
        </w:rPr>
      </w:pPr>
      <w:r>
        <w:t xml:space="preserve">3. Tính thuế đối với hàng hóa vượt định mức miễn thuế:</w:t>
      </w:r>
    </w:p>
    <w:p>
      <w:pPr>
        <w:pStyle w:val="Normal(Web)"/>
        <w:divId w:val="17"/>
        <w:rPr>
          <w:vanish w:val="0"/>
        </w:rPr>
      </w:pPr>
      <w:r>
        <w:t xml:space="preserve">Căn cứ quy định tại khoản 2 Điều 7 Quyết định số 31/2015/QĐ-TTg thì hàng hóa xuất khẩu, nhập khẩu vượt định mức hành lý, định mức tài sản di chuyển,</w:t>
      </w:r>
      <w:r>
        <w:t xml:space="preserve">định</w:t>
      </w:r>
      <w:r>
        <w:t xml:space="preserve"> mức quà biếu, quà tặng, định mức hàng m</w:t>
      </w:r>
      <w:r>
        <w:t xml:space="preserve">ẫu thì</w:t>
      </w:r>
      <w:r>
        <w:t xml:space="preserve"> ph</w:t>
      </w:r>
      <w:r>
        <w:t xml:space="preserve">ải</w:t>
      </w:r>
      <w:r>
        <w:t xml:space="preserve"> nộp đủ các loại thuế </w:t>
      </w:r>
      <w:r>
        <w:t xml:space="preserve">th</w:t>
      </w:r>
      <w:r>
        <w:t xml:space="preserve">eo quy định của pháp luật đối với số lượng hàng </w:t>
      </w:r>
      <w:r>
        <w:t xml:space="preserve">hó</w:t>
      </w:r>
      <w:r>
        <w:t xml:space="preserve">a vượt định mức quy định, tức là cơ quan hải quan chỉ thực hiện thu thuế (các loại thuế) đối với phần vượt so với định mức về hành lý, định mức về tài sản di chuyển, định mức về quà biếu, quà tặng, định mức về hàng mẫu quy định tại Quyết định số 31/2015/QĐ-TTg.</w:t>
      </w:r>
    </w:p>
    <w:p>
      <w:pPr>
        <w:pStyle w:val="Normal(Web)"/>
        <w:divId w:val="18"/>
        <w:rPr>
          <w:vanish w:val="0"/>
        </w:rPr>
      </w:pPr>
      <w:r>
        <w:t xml:space="preserve">4. Vướng mắc về áp dụng trị giá hàng hóa nhập khẩu gửi qua dịch vụ chuyển phát nhanh được miễn thuế của Công ty CP Chuyển phát nhanh Bưu</w:t>
      </w:r>
      <w:r>
        <w:t xml:space="preserve"> điện:</w:t>
      </w:r>
    </w:p>
    <w:p>
      <w:pPr>
        <w:pStyle w:val="Normal(Web)"/>
        <w:divId w:val="19"/>
        <w:rPr>
          <w:vanish w:val="0"/>
        </w:rPr>
      </w:pPr>
      <w:r>
        <w:t xml:space="preserve">Đề nghị Công ty </w:t>
      </w:r>
      <w:r>
        <w:t xml:space="preserve">C</w:t>
      </w:r>
      <w:r>
        <w:t xml:space="preserve">ổ phần Chuyển phát nhanh Bưu điện thực hiện theo Quyết định số 78/2010/QĐ-TTg ngày 30/11/2010 của Thủ tướng Chính phủ.</w:t>
      </w:r>
    </w:p>
    <w:p>
      <w:pPr>
        <w:pStyle w:val="Normal(Web)"/>
        <w:divId w:val="20"/>
        <w:rPr>
          <w:vanish w:val="0"/>
        </w:rPr>
      </w:pPr>
      <w:r>
        <w:t xml:space="preserve">Tổng cục Hải quan trả lời để Cục Hải quan các tỉnh, thành phố và Công ty thực hiện./</w:t>
      </w:r>
      <w:r>
        <w:t xml:space="preserve">.</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1"/>
              <w:rPr>
                <w:vanish w:val="0"/>
              </w:rPr>
            </w:pPr>
            <w:r>
              <w:rPr>
                <w:b/>
                <w:i/>
              </w:rPr>
              <w:t xml:space="preserve">Nơi nhận:</w:t>
            </w:r>
            <w:r>
              <w:rPr>
                <w:b/>
                <w:i/>
              </w:rPr>
              <w:br/>
            </w:r>
            <w:r>
              <w:rPr>
                <w:b/>
                <w:i/>
              </w:rPr>
              <w:t xml:space="preserve"> </w:t>
            </w:r>
            <w:r>
              <w:t xml:space="preserve">- Như trên;</w:t>
            </w:r>
            <w:r>
              <w:rPr/>
              <w:br/>
            </w:r>
            <w:r>
              <w:t xml:space="preserve">- Lưu: VT, GSQL (03b).</w:t>
            </w:r>
          </w:p>
        </w:tc>
        <w:tc>
          <w:tcPr>
            <w:tcW w:w="0" w:type="auto"/>
            <w:shd w:val="clear" w:color="auto" w:fill="auto"/>
            <w:vAlign w:val="center"/>
          </w:tcPr>
          <w:p>
            <w:pPr>
              <w:pStyle w:val="Normal(Web)"/>
              <w:divId w:val="22"/>
              <w:jc w:val="center"/>
              <w:rPr>
                <w:vanish w:val="0"/>
              </w:rPr>
            </w:pPr>
            <w:r>
              <w:rPr>
                <w:b/>
              </w:rPr>
              <w:t xml:space="preserve">KT. TỔNG CỤC TRƯỞNG</w:t>
            </w:r>
            <w:r>
              <w:rPr>
                <w:b/>
              </w:rPr>
              <w:br/>
            </w:r>
            <w:r>
              <w:rPr>
                <w:b/>
              </w:rPr>
              <w:t xml:space="preserve">PHÓ TỔNG CỤC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Vũ Ngọc Anh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2022-06-22T10:51:46Z</dcterms:created>
  <dcterms:modified xsi:type="dcterms:W3CDTF">2022-06-22T10:51:46Z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2022-06-22T10:51:46Z</dcterms:created>
  <dcterms:modified xsi:type="dcterms:W3CDTF">2022-06-22T10:51:46Z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2022-06-22T10:51:46Z</dcterms:created>
  <dcterms:modified xsi:type="dcterms:W3CDTF">2022-06-22T10:51:46Z</dcterms:modified>
</cp:coreProperties>
</file>