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13035/BTC-CST </w:t>
            </w:r>
          </w:p>
          <w:p>
            <w:pPr>
              <w:pStyle w:val="Normal(Web)"/>
              <w:divId w:val="3"/>
              <w:rPr>
                <w:vanish w:val="0"/>
              </w:rPr>
            </w:pPr>
            <w:r>
              <w:t xml:space="preserve">V/v: Thuế xuất khẩu đối với vật liệu xây dựng đưa vào doanh nghiệp chế xuất</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jc w:val="right"/>
              <w:rPr>
                <w:vanish w:val="0"/>
              </w:rPr>
            </w:pPr>
            <w:r>
              <w:rPr>
                <w:i/>
              </w:rPr>
              <w:t xml:space="preserve">Hà Nội, ngày 16 tháng 09 năm 2014</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
              <w:jc w:val="right"/>
              <w:rPr>
                <w:vanish w:val="0"/>
              </w:rPr>
            </w:pPr>
            <w:r>
              <w:rPr>
                <w:b/>
              </w:rPr>
              <w:t xml:space="preserve">Kính gửi:</w:t>
            </w:r>
          </w:p>
        </w:tc>
        <w:tc>
          <w:tcPr>
            <w:tcW w:w="0" w:type="auto"/>
            <w:shd w:val="clear" w:color="auto" w:fill="auto"/>
            <w:vAlign w:val="center"/>
          </w:tcPr>
          <w:p>
            <w:pPr>
              <w:pStyle w:val="Normal(Web)"/>
              <w:divId w:val="7"/>
              <w:rPr>
                <w:vanish w:val="0"/>
              </w:rPr>
            </w:pPr>
            <w:r>
              <w:t xml:space="preserve">- Cục Hải quan các tỉnh, thành phố;</w:t>
            </w:r>
            <w:r>
              <w:rPr/>
              <w:br/>
            </w:r>
            <w:r>
              <w:t xml:space="preserve">- Công ty Obayashi Việt Nam (Địa chỉ: Tòa nhà PVI Tower, Unit 1701, Lot VP2, đường Trần Thái Tông, quận Cầu Giấy, Hà Nội)</w:t>
            </w:r>
          </w:p>
        </w:tc>
      </w:tr>
    </w:tbl>
    <w:p>
      <w:pPr>
        <w:pStyle w:val="Normal(Web)"/>
        <w:divId w:val="8"/>
        <w:rPr>
          <w:vanish w:val="0"/>
        </w:rPr>
      </w:pPr>
      <w:r>
        <w:t xml:space="preserve">Trả lời công văn số OVCHCM/MOF/056-2014 ngày 26/6/2014 của Công ty Obayashi Việt Nam hỏi về chính sách thuế xuất khẩu đối với mặt hàng vật liệu xây dựng đưa vào xây dựng các công trình của doanh nghiệp chế xuất, Bộ Tài chính có ý kiến như sau:</w:t>
      </w:r>
    </w:p>
    <w:p>
      <w:pPr>
        <w:pStyle w:val="Normal(Web)"/>
        <w:divId w:val="9"/>
        <w:rPr>
          <w:vanish w:val="0"/>
        </w:rPr>
      </w:pPr>
      <w:r>
        <w:t xml:space="preserve">- Căn cứ Nghị định số 36/CP ngày 24/4/1997 của Chính phủ về ban hành quy chế khu công nghiệp, khu chế xuất, khu công nghệ cao;</w:t>
      </w:r>
    </w:p>
    <w:p>
      <w:pPr>
        <w:pStyle w:val="Normal(Web)"/>
        <w:divId w:val="10"/>
        <w:rPr>
          <w:vanish w:val="0"/>
        </w:rPr>
      </w:pPr>
      <w:r>
        <w:t xml:space="preserve">- Căn cứ Luật Đầu tư ngày 29/11/2005 và Nghị định số </w:t>
      </w:r>
      <w:hyperlink r:id="rId3" w:history="1">
        <w:r>
          <w:rPr>
            <w:rStyle w:val="Hyperlink"/>
          </w:rPr>
          <w:t xml:space="preserve">108/2006/NĐ-CP </w:t>
        </w:r>
      </w:hyperlink>
      <w:r>
        <w:t xml:space="preserve"> ngày 22/9/2006 của Chính phủ quy định chi tiết và hướng dẫn thi hành một số điều của Luật đầu tư;</w:t>
      </w:r>
    </w:p>
    <w:p>
      <w:pPr>
        <w:pStyle w:val="Normal(Web)"/>
        <w:divId w:val="11"/>
        <w:rPr>
          <w:vanish w:val="0"/>
        </w:rPr>
      </w:pPr>
      <w:r>
        <w:t xml:space="preserve">- Căn cứ Nghị định số </w:t>
      </w:r>
      <w:hyperlink r:id="rId4" w:history="1">
        <w:r>
          <w:rPr>
            <w:rStyle w:val="Hyperlink"/>
          </w:rPr>
          <w:t xml:space="preserve">29/2008/NĐ-CP </w:t>
        </w:r>
      </w:hyperlink>
      <w:r>
        <w:t xml:space="preserve"> ngày 14/3/2008 của Chính phủ quy định về khu công nghiệp, khu chế xuất và khu kinh tế và Nghị định số 164/2013/NĐ-CP ngày 12/11/2013 của Chính phủ sửa đổi, bổ sung một số điều của Nghị định số 29/2008/NĐ-CP ;</w:t>
      </w:r>
    </w:p>
    <w:p>
      <w:pPr>
        <w:pStyle w:val="Normal(Web)"/>
        <w:divId w:val="12"/>
        <w:rPr>
          <w:vanish w:val="0"/>
        </w:rPr>
      </w:pPr>
      <w:r>
        <w:t xml:space="preserve">Quan hệ trao đổi (mua bán) hàng hóa giữa doanh nghiệp chế xuất với các khu vực khác trên lãnh thổ Việt Nam (trừ khu phi thuế quan) là quan hệ xuất khẩu, nhập khẩu. Đối với vật liệu xây dựng (trong đó có một số mặt hàng chịu thuế xuất khẩu là cát, đá, sỏi...) thì quan hệ mua bán hàng hóa được xác định như sau:</w:t>
      </w:r>
    </w:p>
    <w:p>
      <w:pPr>
        <w:pStyle w:val="Normal(Web)"/>
        <w:divId w:val="13"/>
        <w:rPr>
          <w:vanish w:val="0"/>
        </w:rPr>
      </w:pPr>
      <w:r>
        <w:t xml:space="preserve">1. Trường hợp vật liệu xây dựng được dùng để xây dựng công trình của doanh nghiệp chế xuất (như nhà máy, trụ sở... của doanh nghiệp chế xuất) thì quan hệ mua bán hàng hóa được xác định theo công trình xây dựng (nhà máy, trụ sở... của doanh nghiệp chế xuất), không xác định theo từng loại vật liệu xây dựng.</w:t>
      </w:r>
    </w:p>
    <w:p>
      <w:pPr>
        <w:pStyle w:val="Normal(Web)"/>
        <w:divId w:val="14"/>
        <w:rPr>
          <w:vanish w:val="0"/>
        </w:rPr>
      </w:pPr>
      <w:r>
        <w:t xml:space="preserve">2. Trường hợp vật liệu xây dựng được sử dụng cho mục đích khác thì quan hệ mua bán hàng hóa được xác định theo từng loại vật liệu xây dựng đó.</w:t>
      </w:r>
    </w:p>
    <w:p>
      <w:pPr>
        <w:pStyle w:val="Normal(Web)"/>
        <w:divId w:val="15"/>
        <w:rPr>
          <w:vanish w:val="0"/>
        </w:rPr>
      </w:pPr>
      <w:r>
        <w:t xml:space="preserve">3. Về thuế suất thuế xuất khẩu: Thuế suất thuế xuất khẩu thực hiện theo quy định tại Biểu thuế xuất khẩu do Bộ Tài chính ban hành trong thời gian qua và hiện hành tại Thông tư số </w:t>
      </w:r>
      <w:hyperlink r:id="rId5" w:history="1">
        <w:r>
          <w:rPr>
            <w:rStyle w:val="Hyperlink"/>
          </w:rPr>
          <w:t xml:space="preserve">164/2013/TT-BTC </w:t>
        </w:r>
      </w:hyperlink>
      <w:r>
        <w:t xml:space="preserve"> ngày 15/11/2013. Trường hợp hàng hóa không có tên trong Biểu thuế xuất khẩu thì áp dụng mức thuế xuất khẩu 0%.</w:t>
      </w:r>
    </w:p>
    <w:p>
      <w:pPr>
        <w:pStyle w:val="Normal(Web)"/>
        <w:divId w:val="16"/>
        <w:rPr>
          <w:vanish w:val="0"/>
        </w:rPr>
      </w:pPr>
      <w:r>
        <w:t xml:space="preserve">Bộ Tài chính trả lời để Công ty Obayashi Việt Nam, Cục Hải quan các tỉnh, thành phố được biết và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rPr>
                <w:b/>
                <w:i/>
              </w:rPr>
              <w:t xml:space="preserve">Nơi nhận:</w:t>
            </w:r>
            <w:r>
              <w:rPr>
                <w:b/>
                <w:i/>
              </w:rPr>
              <w:br/>
            </w:r>
            <w:r>
              <w:rPr>
                <w:b/>
                <w:i/>
              </w:rPr>
              <w:t xml:space="preserve"> </w:t>
            </w:r>
            <w:r>
              <w:t xml:space="preserve">- Như trên;</w:t>
            </w:r>
            <w:r>
              <w:rPr/>
              <w:br/>
            </w:r>
            <w:r>
              <w:t xml:space="preserve">- Lãnh đạo Bộ (để b/c);</w:t>
            </w:r>
            <w:r>
              <w:rPr/>
              <w:br/>
            </w:r>
            <w:r>
              <w:t xml:space="preserve">- Tổng cục Hải quan;</w:t>
            </w:r>
            <w:r>
              <w:rPr/>
              <w:br/>
            </w:r>
            <w:r>
              <w:t xml:space="preserve">- Vụ Pháp chế;</w:t>
            </w:r>
            <w:r>
              <w:rPr/>
              <w:br/>
            </w:r>
            <w:r>
              <w:t xml:space="preserve">- Lưu: VT, CST (45).</w:t>
            </w:r>
          </w:p>
        </w:tc>
        <w:tc>
          <w:tcPr>
            <w:tcW w:w="0" w:type="auto"/>
            <w:shd w:val="clear" w:color="auto" w:fill="auto"/>
            <w:vAlign w:val="center"/>
          </w:tcPr>
          <w:p>
            <w:pPr>
              <w:pStyle w:val="Normal(Web)"/>
              <w:divId w:val="18"/>
              <w:jc w:val="center"/>
              <w:rPr>
                <w:vanish w:val="0"/>
              </w:rPr>
            </w:pPr>
            <w:r>
              <w:rPr>
                <w:b/>
              </w:rPr>
              <w:t xml:space="preserve">TL. BỘ TRƯỞNG</w:t>
            </w:r>
            <w:r>
              <w:rPr>
                <w:b/>
              </w:rPr>
              <w:br/>
            </w:r>
            <w:r>
              <w:rPr>
                <w:b/>
              </w:rPr>
              <w:t xml:space="preserve">KT. VỤ TRƯỞNG VỤ CHÍNH SÁCH THUẾ</w:t>
            </w:r>
            <w:r>
              <w:rPr>
                <w:b/>
              </w:rPr>
              <w:br/>
            </w:r>
            <w:r>
              <w:rPr>
                <w:b/>
              </w:rPr>
              <w:t xml:space="preserve">PHÓ VỤ TRƯỞNG</w:t>
            </w:r>
            <w:r>
              <w:rPr>
                <w:b/>
              </w:rPr>
              <w:br/>
            </w:r>
            <w:r>
              <w:rPr>
                <w:b/>
              </w:rPr>
              <w:t xml:space="preserve"> </w:t>
            </w:r>
            <w:r>
              <w:rPr>
                <w:b/>
              </w:rPr>
              <w:br/>
            </w:r>
            <w:r>
              <w:rPr>
                <w:b/>
              </w:rPr>
              <w:t xml:space="preserve"> </w:t>
            </w:r>
            <w:r>
              <w:rPr>
                <w:b/>
              </w:rPr>
              <w:br/>
            </w:r>
            <w:r>
              <w:rPr>
                <w:b/>
              </w:rPr>
              <w:t xml:space="preserve">Lưu Đức Huy</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8-2006-nd-cp-ve-viec-quy-dinh-chi-tiet-va-huong-dan-thi-hanh-mot-so-dieu-cua-luat-dau-tu.aspx" TargetMode="External" /><Relationship Id="rId4" Type="http://schemas.openxmlformats.org/officeDocument/2006/relationships/hyperlink" Target="/nghi-dinh-so-29-2008-nd-cp-cua-chinh-phu---quy-dinh-ve-khu-cong-nghiep--khu-che-xuat-va-khu-kinh-te.aspx" TargetMode="External" /><Relationship Id="rId5" Type="http://schemas.openxmlformats.org/officeDocument/2006/relationships/hyperlink" Target="/thong-tu-so-164-2013-tt-btc-cua-bo-tai-chinh---ban-hanh-bieu-thue-xuat-khau--bieu-thue-nhap-khau-uu-dai-theo-danh-muc-mat-hang-chiu-thu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2022-06-21T16:59:59Z</dcterms:created>
  <dcterms:modified xsi:type="dcterms:W3CDTF">2022-06-21T16:59:59Z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2022-06-21T16:59:59Z</dcterms:created>
  <dcterms:modified xsi:type="dcterms:W3CDTF">2022-06-21T16:59:59Z</dcterms:modified>
</cp:coreProperties>
</file>