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3024"/>
        <w:gridCol w:w="5996"/>
      </w:tblGrid>
      <w:tr w:rsidTr="002A66AC">
        <w:trPr>
          <w:trHeight w:val="836"/>
          <w:jc w:val="center"/>
        </w:trPr>
        <w:tc>
          <w:tcPr>
            <w:tcW w:w="1676" w:type="pct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</w:rPr>
            </w:pPr>
            <w:r w:rsidRPr="00E36172"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</w:rPr>
              <w:t xml:space="preserve">CHÍNH PHỦ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pacing w:val="2"/>
                <w:sz w:val="20"/>
                <w:szCs w:val="20"/>
                <w:highlight w:val="white"/>
              </w:rPr>
            </w:pPr>
            <w:r w:rsidRPr="00E36172">
              <w:rPr>
                <w:rFonts w:ascii="Arial" w:hAnsi="Arial" w:cs="Arial"/>
                <w:color w:val="auto"/>
                <w:spacing w:val="2"/>
                <w:sz w:val="20"/>
                <w:szCs w:val="20"/>
                <w:highlight w:val="white"/>
                <w:vertAlign w:val="superscript"/>
              </w:rPr>
              <w:t xml:space="preserve">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pacing w:val="2"/>
                <w:sz w:val="20"/>
                <w:szCs w:val="20"/>
                <w:highlight w:val="white"/>
              </w:rPr>
            </w:pPr>
            <w:r w:rsidRPr="00E3617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Số: 103/2022/NĐ-CP</w:t>
            </w:r>
          </w:p>
        </w:tc>
        <w:tc>
          <w:tcPr>
            <w:tcW w:w="3324" w:type="pct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</w:rPr>
            </w:pPr>
            <w:r w:rsidRPr="00E36172"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</w:rPr>
              <w:t xml:space="preserve">CỘNG HÒA XÃ HỘI CHỦ NGHĨA VIỆT NAM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</w:rPr>
            </w:pPr>
            <w:r w:rsidRPr="00E36172"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</w:rPr>
              <w:t xml:space="preserve">Độc lập - Tự do - Hạnh phúc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pacing w:val="2"/>
                <w:sz w:val="20"/>
                <w:szCs w:val="20"/>
                <w:highlight w:val="white"/>
                <w:vertAlign w:val="superscript"/>
              </w:rPr>
            </w:pPr>
            <w:r w:rsidRPr="00E36172">
              <w:rPr>
                <w:rFonts w:ascii="Arial" w:hAnsi="Arial" w:cs="Arial"/>
                <w:color w:val="auto"/>
                <w:spacing w:val="2"/>
                <w:sz w:val="20"/>
                <w:szCs w:val="20"/>
                <w:highlight w:val="white"/>
                <w:vertAlign w:val="superscript"/>
              </w:rPr>
              <w:t xml:space="preserve">________________________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</w:rPr>
            </w:pPr>
            <w:r w:rsidRPr="00E36172">
              <w:rPr>
                <w:rFonts w:ascii="Arial" w:hAnsi="Arial" w:cs="Arial"/>
                <w:i/>
                <w:color w:val="auto"/>
                <w:sz w:val="20"/>
                <w:szCs w:val="20"/>
                <w:highlight w:val="white"/>
              </w:rPr>
              <w:t xml:space="preserve">Hà Nội, ngày 12 tháng 12 năm 2022</w:t>
            </w:r>
          </w:p>
        </w:tc>
      </w:tr>
    </w:tbl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0" w:name="_GoBack"/>
      <w:bookmarkEnd w:id="0"/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trị,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hội,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dân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E36172"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thán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đổi,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bổ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một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val="en-US" w:eastAsia="en-US"/>
        </w:rPr>
        <w:t xml:space="preserve">số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quyề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G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i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áo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14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27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2014;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d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ục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18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2012;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đổ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i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bổ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số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2018;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13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2008;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15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2010;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đổ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i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ổ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sung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đi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ề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u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25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đề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tạo;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nước,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trị,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hội,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9A3DB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l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ực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="009A3DB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l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ượng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dân.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" w:name="bookmark3"/>
      <w:bookmarkStart w:id="2" w:name="bookmark4"/>
      <w:bookmarkStart w:id="3" w:name="bookmark5"/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1.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chỉnh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tượng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bookmarkEnd w:id="1"/>
      <w:bookmarkEnd w:id="2"/>
      <w:bookmarkEnd w:id="3"/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bookmarkStart w:id="8" w:name="bookmark1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  <w:bookmarkStart w:id="9" w:name="bookmark11"/>
      <w:bookmarkStart w:id="10" w:name="bookmark12"/>
      <w:bookmarkStart w:id="11" w:name="bookmark13"/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2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ị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trí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dưỡng</w:t>
      </w:r>
      <w:bookmarkEnd w:id="9"/>
      <w:bookmarkEnd w:id="10"/>
      <w:bookmarkEnd w:id="11"/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Tòa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quận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ương.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nằm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3.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yề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</w:t>
      </w:r>
    </w:p>
    <w:p>
      <w:pPr>
        <w:pStyle w:val="Vănbảnnộidung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7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2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chức;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2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0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</w:t>
      </w:r>
      <w:r w:rsidRPr="00E36172" w:rsidR="00B9429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5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2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3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8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3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tăn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ầ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31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ỗ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vùng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thiể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khăn.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34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</w:t>
      </w:r>
      <w:r w:rsidRPr="00E36172" w:rsidR="00B9429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9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3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3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4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F72F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4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(gọi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trưởng);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(gọi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trưởng);</w:t>
      </w:r>
    </w:p>
    <w:p>
      <w:pPr>
        <w:pStyle w:val="Vănbảnnộidung"/>
        <w:tabs>
          <w:tab w:val="left" w:pos="9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(gọi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quan;</w:t>
      </w:r>
    </w:p>
    <w:p>
      <w:pPr>
        <w:pStyle w:val="Vănbảnnộidung"/>
        <w:tabs>
          <w:tab w:val="left" w:pos="97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4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tạo;</w:t>
      </w:r>
    </w:p>
    <w:p>
      <w:pPr>
        <w:pStyle w:val="Vănbảnnộidung"/>
        <w:tabs>
          <w:tab w:val="left" w:pos="9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4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4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4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xuyên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(trừ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dưỡng;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học;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4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4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8A71D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kiê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5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48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5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4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</w:t>
      </w:r>
    </w:p>
    <w:p>
      <w:pPr>
        <w:pStyle w:val="Vănbảnnộidung"/>
        <w:tabs>
          <w:tab w:val="left" w:pos="8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</w:p>
    <w:p>
      <w:pPr>
        <w:pStyle w:val="Vănbảnnộidung"/>
        <w:tabs>
          <w:tab w:val="left" w:pos="91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5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dưỡng;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5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soạn,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chọ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3C48E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soạn,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5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chỉ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dưỡng;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5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3C48E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bằng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9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3C48E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bằng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(trừ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quyền;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5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</w:t>
      </w:r>
      <w:r w:rsidRPr="00E36172" w:rsidR="00324A2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chỉ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chươ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trừ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C42B3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thố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dâ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đứ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đứ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6A618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dưỡng.</w:t>
      </w:r>
    </w:p>
    <w:p>
      <w:pPr>
        <w:pStyle w:val="Vănbảnnộidung"/>
        <w:tabs>
          <w:tab w:val="left" w:pos="9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5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57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tuyể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sinh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6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58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6.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trư</w:t>
      </w:r>
      <w:r w:rsidRPr="00E36172" w:rsidR="007C6DD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6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dân.</w:t>
      </w:r>
    </w:p>
    <w:p>
      <w:pPr>
        <w:pStyle w:val="Vănbảnnộidung"/>
        <w:tabs>
          <w:tab w:val="left" w:pos="9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0"/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trò,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E36172" w:rsidR="00073A1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ẳ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073A1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6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34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101/2017/NĐ-CP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2017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an.</w:t>
      </w:r>
    </w:p>
    <w:p>
      <w:pPr>
        <w:pStyle w:val="Vănbảnnộidung"/>
        <w:tabs>
          <w:tab w:val="left" w:pos="9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6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dạy,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sư,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sư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073A1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6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</w:t>
      </w:r>
      <w:r w:rsidRPr="00E36172" w:rsidR="00073A1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ẩ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tú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xét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tặng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tú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66" w:name="bookmark68"/>
      <w:bookmarkStart w:id="67" w:name="bookmark69"/>
      <w:bookmarkStart w:id="68" w:name="bookmark70"/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7.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</w:t>
      </w:r>
      <w:bookmarkEnd w:id="66"/>
      <w:bookmarkEnd w:id="67"/>
      <w:bookmarkEnd w:id="68"/>
    </w:p>
    <w:p>
      <w:pPr>
        <w:pStyle w:val="Vănbảnnộidung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7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rèn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luyện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Tôn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7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tôn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đẳng,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E36172" w:rsidR="00F72F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ô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giáo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rèn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luyện;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7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góp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7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8.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79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9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đặt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8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79" w:name="bookmark81"/>
      <w:bookmarkStart w:id="80" w:name="bookmark82"/>
      <w:bookmarkStart w:id="81" w:name="bookmark83"/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9.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  <w:bookmarkEnd w:id="79"/>
      <w:bookmarkEnd w:id="80"/>
      <w:bookmarkEnd w:id="81"/>
    </w:p>
    <w:p>
      <w:pPr>
        <w:pStyle w:val="Vănbảnnộidung"/>
        <w:tabs>
          <w:tab w:val="left" w:pos="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2" w:name="bookmark8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dõi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3" w:name="bookmark8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4" w:name="bookmark8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4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chức.</w:t>
      </w:r>
    </w:p>
    <w:p>
      <w:pPr>
        <w:pStyle w:val="Vănbảnnộidung"/>
        <w:tabs>
          <w:tab w:val="left" w:pos="8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87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85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phòng;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ninh.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88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86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</w:t>
      </w:r>
      <w:r w:rsidRPr="00E36172" w:rsidR="00073A1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Tòa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85D7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toán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96A7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31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liền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bồi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 w:rsidR="008D39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dưỡ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87" w:name="bookmark89"/>
      <w:bookmarkStart w:id="88" w:name="bookmark90"/>
      <w:bookmarkStart w:id="89" w:name="bookmark91"/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10.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bookmarkEnd w:id="87"/>
      <w:bookmarkEnd w:id="88"/>
      <w:bookmarkEnd w:id="89"/>
    </w:p>
    <w:p>
      <w:pPr>
        <w:pStyle w:val="Vănbảnnộidung"/>
        <w:tabs>
          <w:tab w:val="left" w:pos="8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2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0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2023.</w:t>
      </w:r>
    </w:p>
    <w:p>
      <w:pPr>
        <w:pStyle w:val="Vănbảnnộidung"/>
        <w:tabs>
          <w:tab w:val="left" w:pos="8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3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91"/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125/2011/NĐ-CP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2011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5B25F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CA14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92" w:name="bookmark94"/>
      <w:bookmarkStart w:id="93" w:name="bookmark95"/>
      <w:bookmarkStart w:id="94" w:name="bookmark96"/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11.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E36172" w:rsidR="00C045E9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bookmarkEnd w:id="92"/>
      <w:bookmarkEnd w:id="93"/>
      <w:bookmarkEnd w:id="94"/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</w:t>
      </w:r>
      <w:r w:rsidRPr="00E36172" w:rsidR="0042051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D9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 w:rsidR="00F72F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E36172" w:rsidR="00C045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E3617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5399"/>
        <w:gridCol w:w="3621"/>
      </w:tblGrid>
      <w:tr w:rsidTr="002A66AC">
        <w:trPr>
          <w:trHeight w:val="836"/>
          <w:jc w:val="center"/>
        </w:trPr>
        <w:tc>
          <w:tcPr>
            <w:tcW w:w="2993" w:type="pct"/>
          </w:tcPr>
          <w:p>
            <w:pPr>
              <w:pStyle w:val="Vănbảnnộidung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E36172">
              <w:rPr>
                <w:rStyle w:val="Vănbảnnộidung_"/>
                <w:rFonts w:ascii="Arial" w:hAnsi="Arial" w:cs="Arial"/>
                <w:b/>
                <w:i/>
                <w:iCs/>
                <w:sz w:val="20"/>
                <w:szCs w:val="20"/>
                <w:highlight w:val="white"/>
                <w:lang w:eastAsia="vi-VN"/>
              </w:rPr>
              <w:t xml:space="preserve">Nơi nhận: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95" w:name="bookmark97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95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Ban Bí thư Trung ương Đảng;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96" w:name="bookmark98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96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Thủ t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ướng, các Phó Thủ tướng Chính phủ;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97" w:name="bookmark99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97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Các bộ, cơ quan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ngang bộ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, cơ quan thuộc Chính phủ;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98" w:name="bookmark100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98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Học viện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Chính trị quốc gia Hồ Chí Minh;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99" w:name="bookmark101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99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 w:rsidR="00D96A77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Tỉ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nh ủy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, thành ủy trực thuộc Trung ương;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  <w:lang w:val="en-US"/>
              </w:rPr>
            </w:pPr>
            <w:bookmarkStart w:id="100" w:name="bookmark102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0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HĐND, </w:t>
            </w:r>
            <w:r w:rsidRPr="00E36172" w:rsidR="00420519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U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BND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các t</w:t>
            </w:r>
            <w:r w:rsidRPr="00E36172" w:rsidR="00420519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ỉ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nh,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thành ph</w:t>
            </w:r>
            <w:r w:rsidRPr="00E36172" w:rsidR="00420519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ố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trực thuộc trung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val="en-US" w:eastAsia="vi-VN"/>
              </w:rPr>
              <w:t xml:space="preserve"> ương;</w:t>
            </w:r>
          </w:p>
          <w:p>
            <w:pPr>
              <w:pStyle w:val="Vănbảnnộidung(2)"/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r w:rsidRPr="00E36172" w:rsidR="00D96A77">
              <w:rPr>
                <w:rStyle w:val="Vănbảnnộidung(2)_"/>
                <w:rFonts w:ascii="Arial" w:hAnsi="Arial" w:cs="Arial"/>
                <w:highlight w:val="white"/>
                <w:lang w:val="en-US"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Văn phòng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Trung ương và các Ban của Đảng;</w:t>
            </w:r>
          </w:p>
          <w:p>
            <w:pPr>
              <w:pStyle w:val="Vănbảnnộidung(2)"/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r w:rsidRPr="00E36172" w:rsidR="00D96A77">
              <w:rPr>
                <w:rStyle w:val="Vănbảnnộidung(2)_"/>
                <w:rFonts w:ascii="Arial" w:hAnsi="Arial" w:cs="Arial"/>
                <w:highlight w:val="white"/>
                <w:lang w:val="en-US"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Văn phòng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Tổng Bí thư;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1" w:name="bookmark103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1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 w:rsidR="00D96A77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Vă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n phòng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Chủ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tịch nước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2" w:name="bookmark104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2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Hội đồng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Dân tộc và các </w:t>
            </w:r>
            <w:r w:rsidRPr="00E36172" w:rsidR="00D96A77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Ủy ban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của Quốc hội;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3" w:name="bookmark105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3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Văn phòng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Quốc hội;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4" w:name="bookmark106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4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Tò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a án nhân dân tối cao;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5" w:name="bookmark107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5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Viện kiểm sát nhân dân tối cao;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6" w:name="bookmark108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6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Kiểm toán nhà nước;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7" w:name="bookmark109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7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 w:rsidR="00D96A77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Ủy ban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Giám sát tài chính Quốc gia;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8" w:name="bookmark110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8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Ngân hàng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Chính sách xã hội;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09" w:name="bookmark111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09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Ngân hàng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Phát triển Việt Nam;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10" w:name="bookmark112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10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 w:rsidR="00D96A77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Ủy ban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Trung ương Mặt trận Tổ quốc Việt Nam;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11" w:name="bookmark113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11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Cơ quan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Trung ương của các đoàn thể;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</w:rPr>
            </w:pPr>
            <w:bookmarkStart w:id="112" w:name="bookmark114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12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VPCP: </w:t>
            </w:r>
            <w:r w:rsidR="002A66AC">
              <w:rPr>
                <w:rStyle w:val="Vănbảnnộidung(2)_"/>
                <w:rFonts w:ascii="Arial" w:hAnsi="Arial" w:cs="Arial"/>
                <w:highlight w:val="white"/>
                <w:lang w:val="en-US" w:eastAsia="en-US"/>
              </w:rPr>
              <w:t xml:space="preserve">BTCN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val="en-US" w:eastAsia="en-US"/>
              </w:rPr>
              <w:t xml:space="preserve">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các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val="en-US" w:eastAsia="en-US"/>
              </w:rPr>
              <w:t xml:space="preserve">PCN,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Trợ lý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TTg,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TGĐ </w:t>
            </w:r>
            <w:r w:rsidRPr="00E36172" w:rsidR="00786947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C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u w:color="FF0000"/>
                <w:lang w:eastAsia="vi-VN"/>
              </w:rPr>
              <w:t xml:space="preserve">ổng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TTĐT, các Vụ, Cục, đơn vị trực thuộc, Công báo;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spacing w:line="240" w:lineRule="auto"/>
              <w:jc w:val="both"/>
              <w:rPr>
                <w:rFonts w:ascii="Arial" w:hAnsi="Arial" w:cs="Arial"/>
                <w:highlight w:val="white"/>
                <w:lang w:val="en-US" w:eastAsia="en-US"/>
              </w:rPr>
            </w:pPr>
            <w:bookmarkStart w:id="113" w:name="bookmark115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-</w:t>
            </w:r>
            <w:bookmarkEnd w:id="113"/>
            <w:r w:rsidRPr="00E36172">
              <w:rPr>
                <w:rStyle w:val="Vănbảnnộidung(2)_"/>
                <w:rFonts w:ascii="Arial" w:hAnsi="Arial" w:cs="Arial"/>
                <w:highlight w:val="white"/>
                <w:lang w:eastAsia="vi-VN"/>
              </w:rPr>
              <w:t xml:space="preserve"> Lưu: </w:t>
            </w:r>
            <w:r w:rsidRPr="00E36172">
              <w:rPr>
                <w:rStyle w:val="Vănbảnnộidung(2)_"/>
                <w:rFonts w:ascii="Arial" w:hAnsi="Arial" w:cs="Arial"/>
                <w:highlight w:val="white"/>
                <w:lang w:val="en-US" w:eastAsia="en-US"/>
              </w:rPr>
              <w:t xml:space="preserve">VT, KGVX (2b)</w:t>
            </w:r>
          </w:p>
        </w:tc>
        <w:tc>
          <w:tcPr>
            <w:tcW w:w="2007" w:type="pct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  <w:r w:rsidRPr="00E36172"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  <w:t xml:space="preserve">TM. CHÍNH PHỦ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  <w:r w:rsidRPr="00E36172"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  <w:t xml:space="preserve">KT. THỦ TƯỚNG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  <w:r w:rsidRPr="00E36172"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  <w:t xml:space="preserve">PHÓ THỦ TƯỚNG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pacing w:val="2"/>
                <w:sz w:val="20"/>
                <w:szCs w:val="20"/>
                <w:highlight w:val="white"/>
                <w:lang w:val="en-US"/>
              </w:rPr>
            </w:pPr>
            <w:r w:rsidRPr="00E36172">
              <w:rPr>
                <w:rFonts w:ascii="Arial" w:hAnsi="Arial" w:cs="Arial"/>
                <w:b/>
                <w:color w:val="auto"/>
                <w:spacing w:val="2"/>
                <w:sz w:val="20"/>
                <w:szCs w:val="20"/>
                <w:highlight w:val="white"/>
                <w:lang w:val="en-US"/>
              </w:rPr>
              <w:t xml:space="preserve">Vũ Đức Đam</w:t>
            </w:r>
          </w:p>
        </w:tc>
      </w:tr>
    </w:tbl>
    <w:p>
      <w:pPr>
        <w:pStyle w:val="Vănbảnnộidung(2)"/>
        <w:tabs>
          <w:tab w:val="left" w:pos="2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highlight w:val="white"/>
        </w:rPr>
      </w:pPr>
    </w:p>
    <w:sectPr w:rsidSect="00851A6C">
      <w:headerReference w:type="default" r:id="rId3"/>
      <w:footerReference w:type="default" r:id="rId4"/>
      <w:pgSz w:w="11900" w:h="16840" w:orient="portrait"/>
      <w:pgMar w:top="1440" w:right="1440" w:bottom="1440" w:left="1440" w:header="800" w:footer="800" w:gutter="0"/>
      <w:cols w:num="1" w:space="720">
        <w:col w:w="9020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30"/>
  <w:removePersonalInformation/>
  <w:embedSystemFonts/>
  <w:bordersDoNotSurroundFooter/>
  <w:bordersDoNotSurroundHeader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ănbảnnộidung(3)_">
    <w:name w:val="Văn bản nội dung (3)_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Tiêuđề#1_">
    <w:name w:val="Tiêu đề #1_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ănbảnnộidung_">
    <w:name w:val="Văn bản nội dung_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Chúthíchảnh_">
    <w:name w:val="Chú thích ảnh_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Đầutranghoặcchântrang(2)_">
    <w:name w:val="Đầu trang hoặc chân trang (2)_"/>
    <w:uiPriority w:val="99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character" w:customStyle="1" w:styleId="Vănbảnnộidung(2)_">
    <w:name w:val="Văn bản nội dung (2)_"/>
    <w:uiPriority w:val="99"/>
    <w:rPr>
      <w:rFonts w:ascii="Times New Roman" w:hAnsi="Times New Roman" w:cs="Times New Roman"/>
      <w:sz w:val="20"/>
      <w:szCs w:val="20"/>
      <w:u w:val="none"/>
    </w:rPr>
  </w:style>
  <w:style w:type="paragraph" w:customStyle="1" w:styleId="Vănbảnnộidung(3)">
    <w:name w:val="Văn bản nội dung (3)"/>
    <w:basedOn w:val="Normal"/>
    <w:uiPriority w:val="99"/>
    <w:pPr>
      <w:spacing w:after="920"/>
      <w:ind w:hanging="170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Tiêuđề#1">
    <w:name w:val="Tiêu đề #1"/>
    <w:basedOn w:val="Normal"/>
    <w:uiPriority w:val="99"/>
    <w:qFormat/>
    <w:pPr>
      <w:spacing w:after="250" w:line="259" w:lineRule="auto"/>
      <w:ind w:firstLine="560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customStyle="1" w:styleId="Vănbảnnộidung">
    <w:name w:val="Văn bản nội dung"/>
    <w:basedOn w:val="Normal"/>
    <w:uiPriority w:val="99"/>
    <w:qFormat/>
    <w:pPr>
      <w:spacing w:after="16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Chúthíchảnh">
    <w:name w:val="Chú thích ảnh"/>
    <w:basedOn w:val="Normal"/>
    <w:uiPriority w:val="99"/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customStyle="1" w:styleId="Đầutranghoặcchântrang(2)">
    <w:name w:val="Đầu trang hoặc chân trang (2)"/>
    <w:basedOn w:val="Normal"/>
    <w:uiPriority w:val="99"/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Vănbảnnộidung(2)">
    <w:name w:val="Văn bản nội dung (2)"/>
    <w:basedOn w:val="Normal"/>
    <w:uiPriority w:val="99"/>
    <w:qFormat/>
    <w:pPr>
      <w:spacing w:line="266" w:lineRule="auto"/>
    </w:pPr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styleId="Header">
    <w:name w:val="Header"/>
    <w:basedOn w:val="Normal"/>
    <w:uiPriority w:val="99"/>
    <w:unhideWhenUsed/>
    <w:rsid w:val="00851A6C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FooterChar"/>
    <w:uiPriority w:val="99"/>
    <w:rsid w:val="00851A6C"/>
    <w:rPr>
      <w:rFonts w:cs="Courier New"/>
      <w:color w:val="000000"/>
      <w:lang w:val="vi-VN" w:eastAsia="vi-VN"/>
    </w:rPr>
  </w:style>
  <w:style w:type="paragraph" w:styleId="Footer">
    <w:name w:val="Footer"/>
    <w:basedOn w:val="Normal"/>
    <w:uiPriority w:val="99"/>
    <w:unhideWhenUsed/>
    <w:qFormat/>
    <w:rsid w:val="00851A6C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uiPriority w:val="99"/>
    <w:rsid w:val="00851A6C"/>
    <w:rPr>
      <w:rFonts w:cs="Courier New"/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2024-04-09T09:03:00Z</dcterms:created>
  <dcterms:modified xsi:type="dcterms:W3CDTF">2024-04-09T09:03:00Z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6</Pages>
  <Words>2834</Words>
  <Characters>16159</Characters>
  <Application>Microsoft Office Word</Application>
  <DocSecurity>0</DocSecurity>
  <Lines>134</Lines>
  <Paragraphs>37</Paragraphs>
  <CharactersWithSpaces>18956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2024-04-09T09:03:00Z</dcterms:created>
  <dcterms:modified xsi:type="dcterms:W3CDTF">2024-04-09T09:03:00Z</dcterms:modified>
</cp:coreProperties>
</file>