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  <w:gridCol w:w="5291"/>
      </w:tblGrid>
      <w:tr w:rsidTr="00534B0A">
        <w:trPr>
          <w:trHeight w:val="848"/>
          <w:jc w:val="center"/>
        </w:trPr>
        <w:tc>
          <w:tcPr>
            <w:tcW w:w="20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</w:pPr>
            <w:bookmarkStart w:id="0" w:name="bookmark3"/>
            <w:bookmarkStart w:id="1" w:name="bookmark4"/>
            <w:bookmarkStart w:id="2" w:name="bookmark5"/>
            <w:r w:rsidRPr="001128AD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 xml:space="preserve">CHÍNH PHỦ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highlight w:val="white"/>
                <w:vertAlign w:val="superscript"/>
              </w:rPr>
              <w:t xml:space="preserve">___________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</w:pPr>
            <w:r w:rsidRPr="001128AD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Số: 79/2022/NĐ-CP</w:t>
            </w:r>
          </w:p>
        </w:tc>
        <w:tc>
          <w:tcPr>
            <w:tcW w:w="29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</w:pPr>
            <w:r w:rsidRPr="001128AD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 xml:space="preserve">CỘNG HÒA XÃ HỘI CHỦ NGHĨA VIỆT NAM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</w:pPr>
            <w:r w:rsidRPr="001128AD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 xml:space="preserve">Độc lập - Tự do - Hạnh phúc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highlight w:val="white"/>
              </w:rPr>
            </w:pPr>
            <w:r w:rsidRPr="001128AD">
              <w:rPr>
                <w:rFonts w:ascii="Arial" w:hAnsi="Arial" w:cs="Arial"/>
                <w:bCs/>
                <w:color w:val="auto"/>
                <w:sz w:val="20"/>
                <w:szCs w:val="20"/>
                <w:highlight w:val="white"/>
                <w:vertAlign w:val="superscript"/>
              </w:rPr>
              <w:t xml:space="preserve">________________________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1128AD">
              <w:rPr>
                <w:rFonts w:ascii="Arial" w:hAnsi="Arial" w:cs="Arial"/>
                <w:i/>
                <w:iCs/>
                <w:color w:val="auto"/>
                <w:sz w:val="20"/>
                <w:szCs w:val="20"/>
                <w:highlight w:val="white"/>
              </w:rPr>
              <w:t xml:space="preserve">Hà Nội, ngày 06 tháng 10 năm 2022</w:t>
            </w:r>
          </w:p>
        </w:tc>
      </w:tr>
    </w:tbl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bookmarkEnd w:id="0"/>
      <w:bookmarkEnd w:id="1"/>
      <w:bookmarkEnd w:id="2"/>
    </w:p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bookmarkStart w:id="3" w:name="bookmark6"/>
      <w:bookmarkStart w:id="4" w:name="bookmark7"/>
      <w:bookmarkStart w:id="5" w:name="bookmark8"/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năng,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vụ,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hạn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 w:rsidR="00D84E6F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cấu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Văn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phòng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phủ</w:t>
      </w:r>
      <w:bookmarkEnd w:id="3"/>
      <w:bookmarkEnd w:id="4"/>
      <w:bookmarkEnd w:id="5"/>
    </w:p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Style w:val="Tiêuđề#1_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</w:pPr>
      <w:r w:rsidRPr="001128AD">
        <w:rPr>
          <w:rStyle w:val="Tiêuđề#1_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  <w:t xml:space="preserve">___________</w:t>
      </w:r>
    </w:p>
    <w:p>
      <w:pPr>
        <w:pStyle w:val="Tiêuđề#1"/>
        <w:keepNext/>
        <w:keepLines/>
        <w:adjustRightInd w:val="0"/>
        <w:snapToGrid w:val="0"/>
        <w:spacing w:after="0" w:line="240" w:lineRule="auto"/>
        <w:ind w:firstLine="0"/>
        <w:jc w:val="center"/>
        <w:outlineLvl w:val="9"/>
        <w:rPr>
          <w:rFonts w:ascii="Arial" w:hAnsi="Arial" w:cs="Arial"/>
          <w:b w:val="0"/>
          <w:sz w:val="20"/>
          <w:szCs w:val="20"/>
          <w:highlight w:val="white"/>
          <w:lang w:val="en-US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19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6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2015;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sửa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đổi,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bổ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sung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một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3307C1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val="en-US" w:eastAsia="en-US"/>
        </w:rPr>
        <w:t xml:space="preserve">số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val="en-US" w:eastAsia="en-US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93398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 c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hức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93398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 c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hức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quyề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địa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phương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22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2019;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số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123/2016/NĐ-CP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01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9101D3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thán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g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9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2016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năng,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vụ,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</w:t>
      </w:r>
      <w:r w:rsidRPr="001128AD" w:rsidR="007E0B9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ề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hạn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D84E6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cấ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u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D84E6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 ch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ức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ngang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bộ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;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3307C1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val="en-US" w:eastAsia="en-US"/>
        </w:rPr>
        <w:t xml:space="preserve">số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val="en-US" w:eastAsia="en-US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101/2020/NĐ-CP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28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9101D3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8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2020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</w:t>
      </w:r>
      <w:r w:rsidRPr="001128AD" w:rsidR="00D0237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ử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a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</w:t>
      </w:r>
      <w:r w:rsidRPr="001128AD" w:rsidR="00D0237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ổ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i,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D0237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bổ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sung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một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3307C1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số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FD3AC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3307C1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số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123/2016/NĐ-CP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01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9101D3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9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2016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năng,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vụ,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quyề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hạn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cấu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93398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 c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hức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ngang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bộ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A02A1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đề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Bộ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trưởng,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</w:pP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ban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năng,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vụ,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quyề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hạn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cấu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 w:rsidR="009E7E0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6" w:name="bookmark10"/>
      <w:bookmarkStart w:id="7" w:name="bookmark11"/>
      <w:bookmarkStart w:id="8" w:name="bookmark9"/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</w:t>
      </w:r>
      <w:r w:rsidRPr="001128AD" w:rsidR="001B5B60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ị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trí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năng</w:t>
      </w:r>
      <w:bookmarkEnd w:id="6"/>
      <w:bookmarkEnd w:id="7"/>
      <w:bookmarkEnd w:id="8"/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r w:rsidRPr="001128AD" w:rsidR="002C3E5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E9206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giúp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</w:pP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mưu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giúp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(bao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57CD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93398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 c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E9206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suốt,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0204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FD3AC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</w:t>
      </w:r>
      <w:bookmarkStart w:id="9" w:name="_GoBack"/>
      <w:bookmarkEnd w:id="9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kỹ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hậu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  <w:bookmarkStart w:id="10" w:name="bookmark12"/>
      <w:bookmarkStart w:id="11" w:name="bookmark13"/>
      <w:bookmarkStart w:id="12" w:name="bookmark14"/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2.</w:t>
      </w:r>
      <w:r w:rsidRPr="001128AD" w:rsidR="0097075B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quyền</w:t>
      </w:r>
      <w:r w:rsidRPr="001128AD" w:rsidR="0097075B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hạn</w:t>
      </w:r>
      <w:bookmarkEnd w:id="10"/>
      <w:bookmarkEnd w:id="11"/>
      <w:bookmarkEnd w:id="12"/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123/2016/NĐ-CP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9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2016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101/2020/NĐ-CP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28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2020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sung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123/2016/NĐ-CP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đây:</w:t>
      </w:r>
    </w:p>
    <w:p>
      <w:pPr>
        <w:pStyle w:val="Vănbảnnộidung"/>
        <w:tabs>
          <w:tab w:val="left" w:pos="8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" w:name="bookmark15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3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mưu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F529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FD3AC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giúp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" w:name="bookmark16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4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chư</w:t>
      </w:r>
      <w:r w:rsidRPr="001128AD" w:rsidR="000C6C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ơ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đôn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6F5FB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A75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tắ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ngàn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h),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tỉnh),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D84E6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" w:name="bookmark17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5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F029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chuẩ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A02A1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luật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" w:name="bookmark18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6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534B0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mưu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A02A1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D25BF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" w:name="bookmark19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7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D84E6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phiên họp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Giúp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1128AD" w:rsidR="00F529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ướ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Mặt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trận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cao;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" w:name="bookmark20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18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" w:name="bookmark21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19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mưu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giúp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53064E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</w:p>
    <w:p>
      <w:pPr>
        <w:pStyle w:val="Vănbảnnộidung"/>
        <w:tabs>
          <w:tab w:val="left" w:pos="9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" w:name="bookmark22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0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AD79F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chươ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C32F1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đôn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ED701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chư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</w:t>
      </w:r>
      <w:r w:rsidRPr="001128AD" w:rsidR="00625AC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ớ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trọng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tâm,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trọng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</w:t>
      </w:r>
      <w:r w:rsidRPr="001128AD" w:rsidR="004719B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ời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" w:name="bookmark23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1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mưu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</w:t>
      </w:r>
      <w:r w:rsidRPr="001128AD" w:rsidR="004719B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A02A1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4719B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760E9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4719B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tỉnh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4719B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6F5FBC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9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" w:name="bookmark24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2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4719B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để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4719B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thườ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xuyên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93398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 c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trình;</w:t>
      </w:r>
    </w:p>
    <w:p>
      <w:pPr>
        <w:pStyle w:val="Vănbảnnộidung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" w:name="bookmark25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3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Giúp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hòa,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4719B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4719B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cấ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 </w:t>
      </w:r>
      <w:r w:rsidRPr="001128AD" w:rsidR="004719B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tỉnh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CD034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93398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 c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4719B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 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4719B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đầ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Kiến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43760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tỉ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D84E6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A02A1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A02A1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" w:name="bookmark26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24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43760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phố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</w:t>
      </w:r>
      <w:r w:rsidRPr="001128AD" w:rsidR="00625AC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ớ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D84E6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93398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 c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</w:t>
      </w:r>
      <w:r w:rsidRPr="001128AD" w:rsidR="0035514C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ờ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</w:t>
      </w:r>
      <w:r w:rsidRPr="001128AD" w:rsidR="0035514C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ất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35514C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4719B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 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D84E6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" w:name="bookmark27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</w:t>
      </w:r>
      <w:bookmarkEnd w:id="25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viết,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bài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E3224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biể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lời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phỏng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905E0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 đ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tabs>
          <w:tab w:val="left" w:pos="9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" w:name="bookmark28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bookmarkEnd w:id="26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Giúp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dõi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đôn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nhằm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đôn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khắc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F529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tồ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kỷ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cương,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kỷ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nước;</w:t>
      </w:r>
    </w:p>
    <w:p>
      <w:pPr>
        <w:pStyle w:val="Vănbảnnộidung"/>
        <w:tabs>
          <w:tab w:val="left" w:pos="8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" w:name="bookmark29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</w:t>
      </w:r>
      <w:bookmarkEnd w:id="27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cuộc họp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" w:name="bookmark30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</w:t>
      </w:r>
      <w:bookmarkEnd w:id="28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cuộc họp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E3224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1128AD" w:rsidR="00F5293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ướ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CB6FE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="00CB6FE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ắ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34355C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FD3AC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34355C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" w:name="bookmark31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</w:t>
      </w:r>
      <w:bookmarkEnd w:id="29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còn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nhau,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E3224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họ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34355C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93398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 c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trao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E3224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đổ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còn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tabs>
          <w:tab w:val="left" w:pos="99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" w:name="bookmark32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bookmarkEnd w:id="30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gửi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nêu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E3224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chuyể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D84E6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E3224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đúng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đúng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684DC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34355C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quyết;</w:t>
      </w:r>
    </w:p>
    <w:p>
      <w:pPr>
        <w:pStyle w:val="Vănbảnnộidung"/>
        <w:tabs>
          <w:tab w:val="left" w:pos="99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" w:name="bookmark33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bookmarkEnd w:id="31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8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" w:name="bookmark34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2"/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</w:p>
    <w:p>
      <w:pPr>
        <w:pStyle w:val="Vănbảnnộidung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" w:name="bookmark35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3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684DC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đô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đốc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</w:t>
      </w:r>
      <w:r w:rsidRPr="001128AD" w:rsidR="00764C8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764C8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tabs>
          <w:tab w:val="left" w:pos="9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" w:name="bookmark36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4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</w:p>
    <w:p>
      <w:pPr>
        <w:pStyle w:val="Vănbảnnộidung"/>
        <w:tabs>
          <w:tab w:val="left" w:pos="9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" w:name="bookmark37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35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Kiến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1128AD" w:rsidR="00F5293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ướ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9061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Ủ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1128AD" w:rsidR="009061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A02A1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</w:t>
      </w:r>
      <w:r w:rsidRPr="001128AD" w:rsidR="0035514C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ất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A02A1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</w:t>
      </w:r>
      <w:r w:rsidRPr="001128AD" w:rsidR="0035514C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ất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trương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" w:name="bookmark38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36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9061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</w:t>
      </w:r>
      <w:r w:rsidRPr="001128AD" w:rsidR="004719B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2529BE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r w:rsidRPr="001128AD" w:rsidR="002529BE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ữ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534B0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C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ánh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" w:name="bookmark39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37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8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" w:name="bookmark40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38"/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</w:p>
    <w:p>
      <w:pPr>
        <w:pStyle w:val="Vănbảnnộidung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" w:name="bookmark41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9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A02A1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0" w:name="bookmark42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40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34355C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tiễn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kịp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</w:t>
      </w:r>
      <w:r w:rsidRPr="001128AD" w:rsidR="004719B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ời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mưu,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A02A1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1128AD" w:rsidR="00F5293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ướ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3B761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vấ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bách,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3B761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nổ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cộm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tâm;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" w:name="bookmark43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41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3B761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xã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2" w:name="bookmark44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42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93398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 c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3B761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triể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sẻ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CD034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1128AD" w:rsidR="009061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34355C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FD3AC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1128AD" w:rsidR="00F5293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ướ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3B761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r w:rsidRPr="001128AD" w:rsidR="00F529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ướ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đôn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9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3" w:name="bookmark45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43"/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</w:t>
      </w:r>
      <w:r w:rsidRPr="001128AD" w:rsidR="00497E0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chúng</w:t>
      </w:r>
    </w:p>
    <w:p>
      <w:pPr>
        <w:pStyle w:val="Vănbảnnộidung"/>
        <w:tabs>
          <w:tab w:val="left" w:pos="9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4" w:name="bookmark46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44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Cung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1128AD" w:rsidR="009061C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yếu,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3B761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nhữ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trọng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34355C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1128AD" w:rsidR="00F5293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ướ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3B761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xã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nổi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bật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tabs>
          <w:tab w:val="left" w:pos="9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5" w:name="bookmark47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45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ngôn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6" w:name="bookmark48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46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họp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mưu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lời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phỏng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tabs>
          <w:tab w:val="left" w:pos="9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7" w:name="bookmark49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47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hòa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tabs>
          <w:tab w:val="left" w:pos="9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8" w:name="bookmark50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48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534B0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C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tabs>
          <w:tab w:val="left" w:pos="92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9" w:name="bookmark51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49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kỹ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hậu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tabs>
          <w:tab w:val="left" w:pos="9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0" w:name="bookmark52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50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Xây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3B761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dự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thuộc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E3224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1" w:name="bookmark53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bookmarkEnd w:id="51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2" w:name="bookmark54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9</w:t>
      </w:r>
      <w:bookmarkEnd w:id="52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93398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 c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trữ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106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3" w:name="bookmark55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3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khiếu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nại,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tố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nhũng,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kiệm,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10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4" w:name="bookmark56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4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r w:rsidRPr="001128AD" w:rsidR="00F529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ướ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tỉnh.</w:t>
      </w:r>
    </w:p>
    <w:p>
      <w:pPr>
        <w:pStyle w:val="Vănbảnnộidung"/>
        <w:tabs>
          <w:tab w:val="left" w:pos="10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5" w:name="bookmark57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5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phẩm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tốt,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am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3B761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hiể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497E0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3B761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cô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ngộ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thù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b)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phái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F177C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 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5939E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quyền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tabs>
          <w:tab w:val="left" w:pos="10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6" w:name="bookmark58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6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D84E6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 ch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5939E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tuyể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dụng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5939E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dụng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thuộc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5939E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10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7" w:name="bookmark59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7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905E0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 đ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E3224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F529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CC315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tabs>
          <w:tab w:val="left" w:pos="10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8" w:name="bookmark60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8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10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9" w:name="bookmark61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9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60" w:name="bookmark62"/>
      <w:bookmarkStart w:id="61" w:name="bookmark63"/>
      <w:bookmarkStart w:id="62" w:name="bookmark64"/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3.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 w:rsidR="006C7683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Cơ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cấu</w:t>
      </w:r>
      <w:r w:rsidRPr="001128AD" w:rsidR="0097075B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D84E6F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tổ ch</w:t>
      </w:r>
      <w:r w:rsidRPr="001128AD" w:rsid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ứ</w:t>
      </w:r>
      <w:r w:rsidRPr="001128AD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</w:t>
      </w:r>
      <w:bookmarkEnd w:id="60"/>
      <w:bookmarkEnd w:id="61"/>
      <w:bookmarkEnd w:id="62"/>
    </w:p>
    <w:p>
      <w:pPr>
        <w:pStyle w:val="Vănbảnnộidung"/>
        <w:tabs>
          <w:tab w:val="left" w:pos="9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3" w:name="bookmark65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63"/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4" w:name="bookmark66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64"/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5" w:name="bookmark67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65"/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6" w:name="bookmark68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66"/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7" w:name="bookmark69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67"/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8" w:name="bookmark70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68"/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9" w:name="bookmark71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69"/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mới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0" w:name="bookmark72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bookmarkEnd w:id="70"/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1" w:name="bookmark73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9</w:t>
      </w:r>
      <w:bookmarkEnd w:id="71"/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106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2" w:name="bookmark74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72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</w:t>
      </w:r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D84E6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 ch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vụ.</w:t>
      </w:r>
    </w:p>
    <w:p>
      <w:pPr>
        <w:pStyle w:val="Vănbảnnộidung"/>
        <w:tabs>
          <w:tab w:val="left" w:pos="1086"/>
        </w:tabs>
        <w:adjustRightInd w:val="0"/>
        <w:snapToGrid w:val="0"/>
        <w:spacing w:after="12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</w:pPr>
      <w:bookmarkStart w:id="73" w:name="bookmark75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73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khiếu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nại,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66E8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nhũng,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buôn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lậu,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(gọi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CF593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1).</w:t>
      </w:r>
      <w:bookmarkStart w:id="74" w:name="bookmark76"/>
    </w:p>
    <w:p>
      <w:pPr>
        <w:pStyle w:val="Vănbảnnộidung"/>
        <w:tabs>
          <w:tab w:val="left" w:pos="108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1</w:t>
      </w:r>
      <w:bookmarkEnd w:id="74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thể.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5" w:name="bookmark77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75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tập.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6" w:name="bookmark78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76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7" w:name="bookmark79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77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bộ.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8" w:name="bookmark80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78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0425B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hoạc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9" w:name="bookmark81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79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0" w:name="bookmark82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80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trị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1" w:name="bookmark83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81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9.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II.</w:t>
      </w:r>
    </w:p>
    <w:p>
      <w:pPr>
        <w:pStyle w:val="Vănbảnnộidung"/>
        <w:tabs>
          <w:tab w:val="left" w:pos="11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2" w:name="bookmark84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82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FD3AC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93398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 c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F177C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 phủ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 trưởng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nă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B36A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đơ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132DD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03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1128AD" w:rsidR="001B5B6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ụ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04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4.</w:t>
      </w:r>
      <w:r w:rsidRPr="001128AD" w:rsidR="0097075B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khoản</w:t>
      </w:r>
      <w:r w:rsidRPr="001128AD" w:rsidR="0097075B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chuy</w:t>
      </w:r>
      <w:r w:rsidRPr="001128AD" w:rsidR="0080086E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ể</w:t>
      </w:r>
      <w:r w:rsidRPr="001128A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</w:t>
      </w:r>
      <w:r w:rsidRPr="001128AD" w:rsidR="0097075B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Trung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tâm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soát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1128A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1128AD" w:rsidR="0097075B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5.</w:t>
      </w:r>
      <w:r w:rsidRPr="001128AD" w:rsidR="0097075B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Hiệu</w:t>
      </w:r>
      <w:r w:rsidRPr="001128AD" w:rsidR="0097075B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lực</w:t>
      </w:r>
      <w:r w:rsidRPr="001128AD" w:rsidR="0097075B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1128AD" w:rsidR="0097075B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1128AD" w:rsidR="0097075B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</w:p>
    <w:p>
      <w:pPr>
        <w:pStyle w:val="Vănbảnnộidung"/>
        <w:tabs>
          <w:tab w:val="left" w:pos="9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3" w:name="bookmark85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83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2022.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4" w:name="bookmark86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84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150/2016/NĐ-CP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11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11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2016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</w:pPr>
      <w:bookmarkStart w:id="85" w:name="bookmark87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3</w:t>
      </w:r>
      <w:bookmarkEnd w:id="85"/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1128AD" w:rsid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 trưởng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 w:rsidR="00D25BF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dâ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 w:rsidR="0043760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phố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1128AD" w:rsidR="0097075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112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này./</w:t>
      </w:r>
      <w:r w:rsidRPr="001128AD" w:rsidR="0080086E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</w:pP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3"/>
        <w:gridCol w:w="3527"/>
      </w:tblGrid>
      <w:tr w:rsidTr="00534B0A">
        <w:trPr>
          <w:trHeight w:val="270"/>
          <w:jc w:val="center"/>
        </w:trPr>
        <w:tc>
          <w:tcPr>
            <w:tcW w:w="30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Vănbảnnộidung(4)"/>
              <w:adjustRightInd w:val="0"/>
              <w:snapToGrid w:val="0"/>
              <w:jc w:val="both"/>
              <w:rPr>
                <w:sz w:val="20"/>
                <w:szCs w:val="20"/>
                <w:highlight w:val="white"/>
              </w:rPr>
            </w:pPr>
            <w:r w:rsidRPr="001128AD">
              <w:rPr>
                <w:rStyle w:val="Vănbảnnộidung(4)_"/>
                <w:b/>
                <w:bCs/>
                <w:i/>
                <w:iCs/>
                <w:sz w:val="20"/>
                <w:szCs w:val="20"/>
                <w:highlight w:val="white"/>
                <w:lang w:eastAsia="vi-VN"/>
              </w:rPr>
              <w:t xml:space="preserve">Nơi nhận:</w:t>
            </w:r>
          </w:p>
          <w:p>
            <w:pPr>
              <w:pStyle w:val="Vănbảnnộidung(2)"/>
              <w:tabs>
                <w:tab w:val="left" w:pos="254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86" w:name="bookmark88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86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Ban Bí thư Trung ương Đảng;</w:t>
            </w:r>
          </w:p>
          <w:p>
            <w:pPr>
              <w:pStyle w:val="Vănbảnnộidung(2)"/>
              <w:tabs>
                <w:tab w:val="left" w:pos="254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87" w:name="bookmark89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87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Thủ tướng, các Phó Thủ tướng Chính phủ;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88" w:name="bookmark90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88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Các bộ, cơ quan 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ngang bộ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, cơ quan thuộc Chính phủ;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89" w:name="bookmark91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89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HĐND, UBND các tỉnh, thành phố trực thuộc trung ương;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90" w:name="bookmark92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90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Văn phòng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Trung ương và các Ban của Đảng;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91" w:name="bookmark93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91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Văn phòng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Tổng Bí thư;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92" w:name="bookmark94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92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Văn phòng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1128AD" w:rsid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Chủ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 tịch nước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;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93" w:name="bookmark95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93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Hội đồng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Dân tộc và các Ủy ban của Quốc hội;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94" w:name="bookmark96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94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Văn phòng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Quốc hội;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95" w:name="bookmark97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95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Tò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a án nhân dân tối cao;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96" w:name="bookmark98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96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Viện kiểm sát nhân dân tối cao;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97" w:name="bookmark99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97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Kiểm toán nhà nước;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98" w:name="bookmark100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98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1128AD" w:rsidR="00D25BF3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Ủy ban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Giám sát tài chính Quốc gia;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99" w:name="bookmark101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99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Ngân hàng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Chính sách xã hội;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00" w:name="bookmark102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00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Ngân hàng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Phát triển Việt Nam;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01" w:name="bookmark103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01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1128AD" w:rsidR="00760E96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Ủy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ban trung ương Mặt trận Tổ quốc Việt Nam;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02" w:name="bookmark104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02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Cơ quan trung ương </w:t>
            </w:r>
            <w:r w:rsidRPr="001128AD" w:rsidR="00760E96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củ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a các đoàn thể;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03" w:name="bookmark105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03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val="en-US" w:eastAsia="en-US"/>
              </w:rPr>
              <w:t xml:space="preserve">VPCP: BTCN, 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các 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val="en-US" w:eastAsia="en-US"/>
              </w:rPr>
              <w:t xml:space="preserve">PCN, 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Trợ lý</w:t>
            </w:r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TTg, TGĐ Cổng TTĐT, các Vụ, Cục, đơn vị trực thuộc, Công báo;</w:t>
            </w:r>
          </w:p>
          <w:p>
            <w:pPr>
              <w:pStyle w:val="Vănbảnnộidung(2)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  <w:lang w:val="en-US" w:eastAsia="vi-VN"/>
              </w:rPr>
            </w:pPr>
            <w:bookmarkStart w:id="104" w:name="bookmark106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04"/>
            <w:r w:rsidRPr="001128AD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Lưu: VT, TCCB (2).</w:t>
            </w:r>
            <w:r w:rsidR="00534B0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val="en-US" w:eastAsia="vi-VN"/>
              </w:rPr>
              <w:t xml:space="preserve"> </w:t>
            </w:r>
            <w:r w:rsidRPr="00534B0A" w:rsidR="00534B0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vertAlign w:val="subscript"/>
                <w:lang w:val="en-US" w:eastAsia="vi-VN"/>
              </w:rPr>
              <w:t xml:space="preserve">NHT</w:t>
            </w:r>
          </w:p>
        </w:tc>
        <w:tc>
          <w:tcPr>
            <w:tcW w:w="19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jc w:val="center"/>
              <w:rPr>
                <w:rStyle w:val="Vănbảnnộidung(2)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</w:pPr>
            <w:r w:rsidRPr="001128AD">
              <w:rPr>
                <w:rStyle w:val="Vănbảnnộidung(2)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 xml:space="preserve">TM. CHÍNH PHỦ</w:t>
            </w:r>
            <w:r>
              <w:rPr>
                <w:rStyle w:val="Vănbảnnộidung(2)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br/>
            </w:r>
            <w:r w:rsidRPr="001128AD">
              <w:rPr>
                <w:rStyle w:val="Vănbảnnộidung(2)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KT. </w:t>
            </w:r>
            <w:r w:rsidRPr="001128AD">
              <w:rPr>
                <w:rStyle w:val="Vănbảnnộidung(2)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 xml:space="preserve">THỦ TƯỚNG</w:t>
            </w:r>
            <w:r>
              <w:rPr>
                <w:rStyle w:val="Vănbảnnộidung(2)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br/>
            </w:r>
            <w:r w:rsidRPr="001128AD">
              <w:rPr>
                <w:rStyle w:val="Vănbảnnộidung(2)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 xml:space="preserve">PHÓ THỦ TƯỚNG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1128AD"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Phạm Bình Minh</w:t>
            </w:r>
          </w:p>
        </w:tc>
      </w:tr>
    </w:tbl>
    <w:p>
      <w:pPr>
        <w:pStyle w:val="Vănbảnnộidung(2)"/>
        <w:tabs>
          <w:tab w:val="left" w:pos="258"/>
        </w:tabs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</w:p>
    <w:sectPr w:rsidSect="0097075B">
      <w:headerReference w:type="even" r:id="rId3"/>
      <w:headerReference w:type="default" r:id="rId4"/>
      <w:footerReference w:type="default" r:id="rId5"/>
      <w:type w:val="continuous"/>
      <w:pgSz w:w="11900" w:h="16840" w:orient="portrait"/>
      <w:pgMar w:top="1440" w:right="1440" w:bottom="1440" w:left="1440" w:header="800" w:footer="800" w:gutter="0"/>
      <w:cols w:num="1" w:space="720">
        <w:col w:w="9020" w:space="7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spacing w:line="1" w:lineRule="exact"/>
      <w:rPr>
        <w:color w:val="auto"/>
        <w:lang w:eastAsia="zh-CN"/>
      </w:rPr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60"/>
  <w:removePersonalInformation/>
  <w:embedSystemFonts/>
  <w:bordersDoNotSurroundFooter/>
  <w:bordersDoNotSurroundHeader/>
  <w:doNotTrackMoves/>
  <w:documentProtection w:edit="trackedChanges" w:enforcement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,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99"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Pr>
      <w:color w:val="0066CC"/>
      <w:u w:val="single"/>
    </w:rPr>
  </w:style>
  <w:style w:type="character" w:customStyle="1" w:styleId="Vănbảnnộidung_">
    <w:name w:val="Văn bản nội dung_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Vănbảnnộidung(3)_">
    <w:name w:val="Văn bản nội dung (3)_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Tiêuđề#1_">
    <w:name w:val="Tiêu đề #1_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ănbảnnộidung(2)_">
    <w:name w:val="Văn bản nội dung (2)_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Đầutranghoặcchântrang(2)_">
    <w:name w:val="Đầu trang hoặc chân trang (2)_"/>
    <w:uiPriority w:val="99"/>
    <w:rPr>
      <w:rFonts w:ascii="Times New Roman" w:hAnsi="Times New Roman" w:cs="Times New Roman"/>
      <w:sz w:val="20"/>
      <w:szCs w:val="20"/>
      <w:u w:val="none"/>
      <w:lang w:val="en-US" w:eastAsia="en-US"/>
    </w:rPr>
  </w:style>
  <w:style w:type="character" w:customStyle="1" w:styleId="Vănbảnnộidung(4)_">
    <w:name w:val="Văn bản nội dung (4)_"/>
    <w:uiPriority w:val="99"/>
    <w:rPr>
      <w:rFonts w:ascii="Arial" w:hAnsi="Arial" w:cs="Arial"/>
      <w:b/>
      <w:bCs/>
      <w:i/>
      <w:iCs/>
      <w:sz w:val="22"/>
      <w:szCs w:val="22"/>
      <w:u w:val="none"/>
    </w:rPr>
  </w:style>
  <w:style w:type="paragraph" w:customStyle="1" w:styleId="Vănbảnnộidung">
    <w:name w:val="Văn bản nội dung"/>
    <w:basedOn w:val="Normal"/>
    <w:uiPriority w:val="99"/>
    <w:qFormat/>
    <w:pPr>
      <w:spacing w:after="220" w:line="269" w:lineRule="auto"/>
      <w:ind w:firstLine="400"/>
    </w:pPr>
    <w:rPr>
      <w:rFonts w:ascii="Times New Roman" w:hAnsi="Times New Roman" w:cs="Times New Roman"/>
      <w:color w:val="auto"/>
      <w:sz w:val="26"/>
      <w:szCs w:val="26"/>
      <w:lang w:eastAsia="zh-CN"/>
    </w:rPr>
  </w:style>
  <w:style w:type="paragraph" w:customStyle="1" w:styleId="Vănbảnnộidung(3)">
    <w:name w:val="Văn bản nội dung (3)"/>
    <w:basedOn w:val="Normal"/>
    <w:uiPriority w:val="99"/>
    <w:pPr>
      <w:spacing w:after="840"/>
      <w:ind w:hanging="1740"/>
    </w:pPr>
    <w:rPr>
      <w:rFonts w:ascii="Times New Roman" w:hAnsi="Times New Roman" w:cs="Times New Roman"/>
      <w:color w:val="auto"/>
      <w:sz w:val="18"/>
      <w:szCs w:val="18"/>
      <w:lang w:eastAsia="zh-CN"/>
    </w:rPr>
  </w:style>
  <w:style w:type="paragraph" w:customStyle="1" w:styleId="Tiêuđề#1">
    <w:name w:val="Tiêu đề #1"/>
    <w:basedOn w:val="Normal"/>
    <w:uiPriority w:val="99"/>
    <w:qFormat/>
    <w:pPr>
      <w:spacing w:after="280" w:line="259" w:lineRule="auto"/>
      <w:ind w:firstLine="210"/>
      <w:outlineLvl w:val="0"/>
    </w:pPr>
    <w:rPr>
      <w:rFonts w:ascii="Times New Roman" w:hAnsi="Times New Roman" w:cs="Times New Roman"/>
      <w:b/>
      <w:bCs/>
      <w:color w:val="auto"/>
      <w:sz w:val="26"/>
      <w:szCs w:val="26"/>
      <w:lang w:eastAsia="zh-CN"/>
    </w:rPr>
  </w:style>
  <w:style w:type="paragraph" w:customStyle="1" w:styleId="Vănbảnnộidung(2)">
    <w:name w:val="Văn bản nội dung (2)"/>
    <w:basedOn w:val="Normal"/>
    <w:uiPriority w:val="99"/>
    <w:qFormat/>
    <w:rPr>
      <w:rFonts w:ascii="Times New Roman" w:hAnsi="Times New Roman" w:cs="Times New Roman"/>
      <w:color w:val="auto"/>
      <w:sz w:val="22"/>
      <w:szCs w:val="22"/>
      <w:lang w:eastAsia="zh-CN"/>
    </w:rPr>
  </w:style>
  <w:style w:type="paragraph" w:customStyle="1" w:styleId="Đầutranghoặcchântrang(2)">
    <w:name w:val="Đầu trang hoặc chân trang (2)"/>
    <w:basedOn w:val="Normal"/>
    <w:uiPriority w:val="99"/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Vănbảnnộidung(4)">
    <w:name w:val="Văn bản nội dung (4)"/>
    <w:basedOn w:val="Normal"/>
    <w:uiPriority w:val="99"/>
    <w:qFormat/>
    <w:rPr>
      <w:rFonts w:ascii="Arial" w:hAnsi="Arial" w:cs="Arial"/>
      <w:b/>
      <w:bCs/>
      <w:i/>
      <w:iCs/>
      <w:color w:val="auto"/>
      <w:sz w:val="22"/>
      <w:szCs w:val="22"/>
      <w:lang w:eastAsia="zh-CN"/>
    </w:rPr>
  </w:style>
  <w:style w:type="paragraph" w:styleId="Footer">
    <w:name w:val="Footer"/>
    <w:basedOn w:val="Normal"/>
    <w:uiPriority w:val="99"/>
    <w:unhideWhenUsed/>
    <w:qFormat/>
    <w:rsid w:val="003D0350"/>
    <w:pPr>
      <w:tabs>
        <w:tab w:val="center" w:pos="4680"/>
        <w:tab w:val="right" w:pos="9360"/>
      </w:tabs>
    </w:pPr>
    <w:rPr/>
  </w:style>
  <w:style w:type="character" w:customStyle="1" w:styleId="FooterChar">
    <w:name w:val="Footer Char"/>
    <w:uiPriority w:val="99"/>
    <w:rsid w:val="003D0350"/>
    <w:rPr>
      <w:rFonts w:cs="Courier New"/>
      <w:color w:val="000000"/>
      <w:lang w:val="vi-VN" w:eastAsia="vi-VN"/>
    </w:rPr>
  </w:style>
  <w:style w:type="paragraph" w:styleId="Header">
    <w:name w:val="Header"/>
    <w:basedOn w:val="Normal"/>
    <w:uiPriority w:val="99"/>
    <w:unhideWhenUsed/>
    <w:rsid w:val="003D0350"/>
    <w:pPr>
      <w:tabs>
        <w:tab w:val="center" w:pos="4680"/>
        <w:tab w:val="right" w:pos="9360"/>
      </w:tabs>
    </w:pPr>
    <w:rPr/>
  </w:style>
  <w:style w:type="character" w:customStyle="1" w:styleId="HeaderChar">
    <w:name w:val="Header Char"/>
    <w:link w:val="HeaderChar"/>
    <w:uiPriority w:val="99"/>
    <w:rsid w:val="003D0350"/>
    <w:rPr>
      <w:rFonts w:cs="Courier New"/>
      <w:color w:val="000000"/>
      <w:lang w:val="vi-VN" w:eastAsia="vi-VN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header" Target="header2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2024-04-12T02:21:00Z</dcterms:created>
  <dcterms:modified xsi:type="dcterms:W3CDTF">2024-04-12T02:22:00Z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</CharactersWithSpaces>
  <SharedDoc>false</SharedDoc>
  <HyperlinksChanged>false</HyperlinksChanged>
  <AppVersion>15.0000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6</Pages>
  <Words>2648</Words>
  <Characters>15100</Characters>
  <Application>Microsoft Office Word</Application>
  <DocSecurity>0</DocSecurity>
  <Lines>125</Lines>
  <Paragraphs>35</Paragraphs>
  <CharactersWithSpaces>17713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1</cp:revision>
  <dcterms:created xsi:type="dcterms:W3CDTF">2024-04-12T02:21:00Z</dcterms:created>
  <dcterms:modified xsi:type="dcterms:W3CDTF">2024-04-12T02:22:00Z</dcterms:modified>
</cp:coreProperties>
</file>