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 </w:t>
            </w:r>
            <w:r>
              <w:rPr>
                <w:b/>
              </w:rPr>
              <w:br/>
            </w:r>
            <w:r>
              <w:rPr>
                <w:b/>
              </w:rPr>
              <w:t xml:space="preserve">------------------</w:t>
            </w:r>
          </w:p>
          <w:p>
            <w:pPr>
              <w:pStyle w:val="Normal(Web)"/>
              <w:divId w:val="2"/>
              <w:jc w:val="center"/>
              <w:rPr>
                <w:vanish w:val="0"/>
              </w:rPr>
            </w:pPr>
            <w:r>
              <w:t xml:space="preserve">Số: 853/QĐ-TTg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03 tháng 06 năm 2011</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ĐIỀU CHỈNH MỨC CHO VAY VÀ LÃI SUẤT CHO VAY ĐỐI VỚI HỌC SINH, SINH VIÊN </w:t>
      </w:r>
    </w:p>
    <w:p>
      <w:pPr>
        <w:pStyle w:val="Normal(Web)"/>
        <w:divId w:val="7"/>
        <w:jc w:val="center"/>
        <w:rPr>
          <w:vanish w:val="0"/>
        </w:rPr>
      </w:pPr>
      <w:r>
        <w:t xml:space="preserve">---------------------------</w:t>
      </w:r>
    </w:p>
    <w:p>
      <w:pPr>
        <w:pStyle w:val="Normal(Web)"/>
        <w:divId w:val="8"/>
        <w:jc w:val="center"/>
        <w:rPr>
          <w:vanish w:val="0"/>
        </w:rPr>
      </w:pPr>
      <w:r>
        <w:t xml:space="preserve">THỦ TƯỚNG CHÍNH PHỦ </w:t>
      </w:r>
    </w:p>
    <w:p>
      <w:pPr>
        <w:pStyle w:val="Normal(Web)"/>
        <w:divId w:val="9"/>
        <w:rPr>
          <w:vanish w:val="0"/>
        </w:rPr>
      </w:pPr>
      <w:r>
        <w:rPr>
          <w:i/>
        </w:rPr>
        <w:t xml:space="preserve">Căn cứ Luật Tổ chức Chính phủ ngày 25 tháng 12 năm 2001;</w:t>
      </w:r>
    </w:p>
    <w:p>
      <w:pPr>
        <w:pStyle w:val="Normal(Web)"/>
        <w:divId w:val="10"/>
        <w:rPr>
          <w:vanish w:val="0"/>
        </w:rPr>
      </w:pPr>
      <w:r>
        <w:rPr>
          <w:i/>
        </w:rPr>
        <w:t xml:space="preserve">Căn cứ Nghị định số </w:t>
      </w:r>
      <w:hyperlink r:id="rId3" w:history="1">
        <w:r>
          <w:rPr>
            <w:rStyle w:val="Hyperlink"/>
            <w:i/>
          </w:rPr>
          <w:t xml:space="preserve">78/2002/NĐ-CP </w:t>
        </w:r>
      </w:hyperlink>
      <w:r>
        <w:rPr>
          <w:i/>
        </w:rPr>
        <w:t xml:space="preserve"> ngày 04 tháng 10 năm 2002 của Chính phủ về tín dụng đối với người nghèo và các đối tượng chính sách khác;</w:t>
      </w:r>
    </w:p>
    <w:p>
      <w:pPr>
        <w:pStyle w:val="Normal(Web)"/>
        <w:divId w:val="11"/>
        <w:rPr>
          <w:vanish w:val="0"/>
        </w:rPr>
      </w:pPr>
      <w:r>
        <w:rPr>
          <w:i/>
        </w:rPr>
        <w:t xml:space="preserve">Căn cứ Quyết định số 157/2007/QĐ-TTg ngày 27 tháng 9 năm 2007 của Thủ tướng Chính phủ về tín dụng đối với học sinh, sinh viên;</w:t>
      </w:r>
    </w:p>
    <w:p>
      <w:pPr>
        <w:pStyle w:val="Normal(Web)"/>
        <w:divId w:val="12"/>
        <w:rPr>
          <w:vanish w:val="0"/>
        </w:rPr>
      </w:pPr>
      <w:r>
        <w:rPr>
          <w:i/>
        </w:rPr>
        <w:t xml:space="preserve">Xét đề nghị của Bộ trưởng Bộ Tài chính tại văn bản số 5613/BTC-TCNH ngày 29 tháng 4 năm 2011,</w:t>
      </w:r>
    </w:p>
    <w:p>
      <w:pPr>
        <w:pStyle w:val="Normal(Web)"/>
        <w:divId w:val="13"/>
        <w:jc w:val="center"/>
        <w:rPr>
          <w:vanish w:val="0"/>
        </w:rPr>
      </w:pPr>
      <w:r>
        <w:rPr>
          <w:b/>
        </w:rPr>
        <w:t xml:space="preserve">QUYẾT ĐỊNH</w:t>
      </w:r>
    </w:p>
    <w:p>
      <w:pPr>
        <w:pStyle w:val="Normal(Web)"/>
        <w:divId w:val="14"/>
        <w:rPr>
          <w:vanish w:val="0"/>
        </w:rPr>
      </w:pPr>
      <w:r>
        <w:rPr>
          <w:b/>
        </w:rPr>
        <w:t xml:space="preserve">Điều 1.</w:t>
      </w:r>
    </w:p>
    <w:p>
      <w:pPr>
        <w:pStyle w:val="Normal(Web)"/>
        <w:divId w:val="15"/>
        <w:rPr>
          <w:vanish w:val="0"/>
        </w:rPr>
      </w:pPr>
      <w:r>
        <w:t xml:space="preserve">1. Điều chỉnh mức cho vay quy định tại khoản 1, Điều 5, Quyết định số 157/2007/QĐ-TTg ngày 27 tháng 9 năm 2007 của Thủ tướng Chính phủ về tín dụng đối với học sinh, sinh viên như sau: Mức cho vay tối đa là 1.000.000 đồng/tháng/học sinh, sinh viên.</w:t>
      </w:r>
    </w:p>
    <w:p>
      <w:pPr>
        <w:pStyle w:val="Normal(Web)"/>
        <w:divId w:val="16"/>
        <w:rPr>
          <w:vanish w:val="0"/>
        </w:rPr>
      </w:pPr>
      <w:r>
        <w:t xml:space="preserve">2. Điều chỉnh lãi suất cho vay quy định tại khoản 1, Điều 7, Quyết định số 157/2007/QĐ-TTg ngày 27 tháng 9 năm 2007 của Thủ tướng Chính phủ về tín dụng đối với học sinh, sinh viên như sau: Lãi suất cho vay ưu đãi đối với học sinh, sinh viên là 0,65%/tháng.</w:t>
      </w:r>
    </w:p>
    <w:p>
      <w:pPr>
        <w:pStyle w:val="Normal(Web)"/>
        <w:divId w:val="17"/>
        <w:rPr>
          <w:vanish w:val="0"/>
        </w:rPr>
      </w:pPr>
      <w:r>
        <w:t xml:space="preserve">3. Bộ Tài chính chủ trì phối hợp với Bộ Kế hoạch và Đầu tư và các cơ quan liên quan có kế hoạch đảm bảo vốn để Ngân hàng Chính sách xã hội cho vay theo mức điều chỉnh nêu trên.</w:t>
      </w:r>
    </w:p>
    <w:p>
      <w:pPr>
        <w:pStyle w:val="Normal(Web)"/>
        <w:divId w:val="18"/>
        <w:rPr>
          <w:vanish w:val="0"/>
        </w:rPr>
      </w:pPr>
      <w:r>
        <w:rPr>
          <w:b/>
        </w:rPr>
        <w:t xml:space="preserve">Điều 2.</w:t>
      </w:r>
      <w:r>
        <w:t xml:space="preserve">Quyết định này có hiệu lực thi hành kể từ ngày 01 tháng 8 năm 2011, thay thế Quyết định số 2077/QĐ-TTg ngày 15 tháng 11 năm 2010 của Thủ tướng Chính phủ về điều chỉnh mức cho vay đối với học sinh, sinh viên và áp dụng đối với các khoản vay mới kể từ khi Quyết định này có hiệu lực thi hành.</w:t>
      </w:r>
    </w:p>
    <w:p>
      <w:pPr>
        <w:pStyle w:val="Normal(Web)"/>
        <w:divId w:val="19"/>
        <w:rPr>
          <w:vanish w:val="0"/>
        </w:rPr>
      </w:pPr>
      <w:r>
        <w:t xml:space="preserve">Bộ trưởng các Bộ: Tài chính, Kế hoạch và Đầu tư, Giáo dục và Đào tạo, Lao động - Thương binh và Xã hội; Thống đốc Ngân hàng Nhà nước Việt Nam; Chủ tịch Hội đồng quản trị, Tổng giám đốc Ngân hàng Chính sách xã hội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0"/>
              <w:rPr>
                <w:vanish w:val="0"/>
              </w:rPr>
            </w:pPr>
            <w:r>
              <w:rPr>
                <w:b/>
                <w:i/>
              </w:rPr>
              <w:t xml:space="preserve">Nơi nhận:</w:t>
            </w:r>
            <w:r>
              <w:rPr>
                <w:b/>
                <w:i/>
              </w:rPr>
              <w:br/>
            </w:r>
            <w:r>
              <w:rPr>
                <w:b/>
                <w:i/>
              </w:rPr>
              <w:t xml:space="preserve"> </w:t>
            </w:r>
            <w:r>
              <w:t xml:space="preserve">- Như Điều 2;</w:t>
            </w:r>
            <w:r>
              <w:rPr/>
              <w:br/>
            </w:r>
            <w:r>
              <w:t xml:space="preserve">- Thủ tướng CP;</w:t>
            </w:r>
            <w:r>
              <w:rPr/>
              <w:br/>
            </w:r>
            <w:r>
              <w:t xml:space="preserve">- Các Phó Thủ tướng CP;</w:t>
            </w:r>
            <w:r>
              <w:rPr/>
              <w:br/>
            </w:r>
            <w:r>
              <w:t xml:space="preserve">- Cơ quan Trung ương của các đoàn thể;</w:t>
            </w:r>
            <w:r>
              <w:rPr/>
              <w:br/>
            </w:r>
            <w:r>
              <w:t xml:space="preserve">- VPCP: BTCN, các PCN, các Vụ: TH, TKBT, ĐP, KGVX, Cổng TTĐT;</w:t>
            </w:r>
            <w:r>
              <w:rPr/>
              <w:br/>
            </w:r>
            <w:r>
              <w:t xml:space="preserve">- Lưu: VT, KTTH (5b).</w:t>
            </w:r>
          </w:p>
        </w:tc>
        <w:tc>
          <w:tcPr>
            <w:tcW w:w="0" w:type="auto"/>
            <w:shd w:val="clear" w:color="auto" w:fill="auto"/>
            <w:vAlign w:val="center"/>
          </w:tcPr>
          <w:p>
            <w:pPr>
              <w:pStyle w:val="Normal(Web)"/>
              <w:divId w:val="21"/>
              <w:jc w:val="center"/>
              <w:rPr>
                <w:vanish w:val="0"/>
              </w:rPr>
            </w:pPr>
            <w:r>
              <w:rPr>
                <w:b/>
              </w:rPr>
              <w:t xml:space="preserve">THỦ 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Tấn Dũng </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8-2002-nd-cp-cua-chinh-phu---nghi-dinh-ve-tin-dung-doi-voi-nguoi-ngheo-va-cac-doi-tuong-chinh-sach-kha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2022-06-20T23:14:08Z</dcterms:created>
  <dcterms:modified xsi:type="dcterms:W3CDTF">2022-06-20T23:14:08Z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2022-06-20T23:14:08Z</dcterms:created>
  <dcterms:modified xsi:type="dcterms:W3CDTF">2022-06-20T23:14:08Z</dcterms:modified>
</cp:coreProperties>
</file>