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HẬU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15/2010/QĐ-UBND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Vị Thanh, ngày 21 tháng 6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QUY ĐỊNH ĐƠN GIÁ VÀ MẬT ĐỘ CÂY TRỒNG ĐỂ ĐỊNH GIÁ TRỊ BỒI THƯỜNG, HỖ TRỢ THIỆTHẠI KHI NHÀ NƯỚC THU HỒI ĐẤT TRÊN ĐỊA BÀN TỈNH HẬU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HẬU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nhândân và Ủy ban nhân dân ngày 26 tháng 11 năm 2003;</w:t>
      </w:r>
      <w:r>
        <w:rPr>
          <w:i/>
        </w:rPr>
        <w:br/>
      </w:r>
      <w:r>
        <w:rPr>
          <w:i/>
        </w:rPr>
        <w:t xml:space="preserve">Căn cứ Luật Đất đai ngày 26 tháng 11 năm 2003;</w:t>
      </w:r>
      <w:r>
        <w:rPr>
          <w:i/>
        </w:rPr>
        <w:br/>
      </w:r>
      <w:r>
        <w:rPr>
          <w:i/>
        </w:rPr>
        <w:t xml:space="preserve">Căn cứ Nghị định số </w:t>
      </w:r>
      <w:hyperlink r:id="rId3" w:history="1">
        <w:r>
          <w:rPr>
            <w:rStyle w:val="Hyperlink"/>
            <w:i/>
          </w:rPr>
          <w:t xml:space="preserve">197/2004/NĐ-CP </w:t>
        </w:r>
      </w:hyperlink>
      <w:r>
        <w:rPr>
          <w:i/>
        </w:rPr>
        <w:t xml:space="preserve"> ngày 03 tháng 12 năm 2004 của Chính phủ vềbồi thường, hỗ trợ và tái định cư khi Nhà nước thu hồi đất;</w:t>
      </w:r>
      <w:r>
        <w:rPr>
          <w:i/>
        </w:rPr>
        <w:br/>
      </w:r>
      <w:r>
        <w:rPr>
          <w:i/>
        </w:rPr>
        <w:t xml:space="preserve">Căn cứ Thông tư số 14/2009/TT-BTNMT ngày 01 tháng 10 năm 2009 của Bộ Tài nguyênvà Môi trường quy định chi tiết về bồi thường, hỗ trợ, tái định cư và trình tự,thủ tục thu hồi đất, giao đất, cho thuê đất;</w:t>
      </w:r>
      <w:r>
        <w:rPr>
          <w:i/>
        </w:rPr>
        <w:br/>
      </w:r>
      <w:r>
        <w:rPr>
          <w:i/>
        </w:rPr>
        <w:t xml:space="preserve">Xét đề nghị của Giám đốc Sở Nông nghiệp và Phát triển nông thôn, Giám đốc Sở Tưpháp,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Quyếtđịnh này quy định về đơn giá và mật độ cây trồng để tính giá trị bồi thường, hỗtrợ thiệt hại cho các tổ chức, hộ gia đình và cá nhân khi Nhà nước thu hồi đấttrên địa bàn tỉnh Hậu Giang.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Hoa màu, cây trồng (gọi tắt làcây trồng) được xác định bồi thường theo loại cây trồng, thời gian sinh trưởngcủa cây hiện có trên mặt đất tại thời điểm triển khai thực hiện bồi thườngthiệt hại, giải phóng mặt bằng của dự án, công trình được cấp thẩm quyền phêduyệt.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giá bồi thường được tính bởicác yếu tố: chi phí giống, chi phí chăm sóc (cây trồng chưa thu hoạch), giá trịđang thu hoạch và được chia thành ba loại để tính bồi thường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A: cây trồng đang trong thờikỳ thu hoạch, năng suất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B: cây trồng đang vào thờikỳ sinh trưởng chuẩn bị thu hoạch có phân tàn rộng tương đương như cây trongthời kỳ thu hoạch hoặc cây trong thời kỳ già cỗi, thu hoạch kém.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C: cây trồng nhỏ mới trồngđang trong thời kỳ phát triển tốt, theo chu kỳ sinh trưởng của cây trồng.c) Mậtđộ cây trồng phải phù hợp theo tỷ lệ quy định chung của Ngành nông nghiệp vàđược xác định cụ thể theo từng loại tại mục 3 của Quyết định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Điều kiện không được bồi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canh tác, trồng cây trênđất sau khi có quyết định thu hồi đất hoặc chủ trương triển khai thực hiện bồithường thiệt hại, giải phóng mặt bằng; sau thời điểm điều tra, kiểm định đượcchủ hộ thống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canh tác, trồng cây trênđất không đủ điều kiện canh tác, không đảm bảo điều kiện cho cây sinh trưởng vàphát triển.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giá câytrồng: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giáchuẩn của cây trồng được phân loại A, B, 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CÂY TRỒNG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ĐVT</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B</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loại cây trồng cho năng suất cao:</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Mận An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Xoài Thái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Xoài Cát Hòa Lộc, Cát Chu, Cát Đài Loan, Bắc Tam Băng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Bơ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Bòn bon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Bưởi Năm Roi, Da xanh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Bưởi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phê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mật, cam sành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Chanh dây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Chôm chôm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lộn hột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Dâu đặc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Dâu thường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Đu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Dừa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Lêkima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Lựu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Mãng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Măng cụt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môi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 bô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Sơri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Sầu riêng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Chùm ruột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đ/trụ</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đ/nọc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đ/nọc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Vải thiều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Vú sữa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Đậu các loại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Khoai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 dừa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Lát (cói)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Mía, thơm (khóm)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Ớt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Rau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đ/m2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loại cây lấy gỗ:</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đàn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 &gt;15cm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 &gt;10-15cm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 5 -10cm 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ĐK&gt;30-40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ĐK&gt;15-30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ĐK:5 -15cm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ĐK&gt;30-40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ĐK&gt;15-30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ĐK:5 -15cm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A: sao, dầu, thao lao, gỏ.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ĐK&gt;30-40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ĐK&gt;15-30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ĐK:5 -15cm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B: sắn, gáo, trâm, tràm biển, còng, gừa, điệp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ĐK&gt;30-40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ĐK&gt;15-30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ĐK:5 -15cm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C: bàng, dong nem, đủng đỉnh, trứng cá, bình bát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ĐK&gt;30-40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ĐK&gt;15-30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ĐK:5 -15cm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 đũa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 &gt;15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 &gt;10-15cm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ĐK:5 -10cm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 &gt;7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 &gt; 5 -7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ĐK:2 -5 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Tầm vông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 các loại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Trúc, nứa, lồ ô, lục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cây trồng là Sầu riêng, Măngcụt, Vú sữa, Xoài (Thái lan, Cát Hòa Lộc, Cát Đài Loan, Cát Chu, Bắc Tam Băng),Bưởi (Năm Roi, Da xanh) ngoài việc được bồi thường theo quy định (loại A, B, Choặc hỗ trợ giống). Nếu được xác định là cây trồng lâu năm vẫn cho năng suấtcao thì được hỗ trợ thêm giá trị thiệt hại dựa trên nguyên tắc căn cứ vào chukỳ sống, quá trình cho trái và đường kính gốc (đkg) của từng loại cây để tínhgiá trị hỗ trợ thiệt hại, điểm được xem là đường kính gốc xác định tại vị trícách mặt đất là 1,0 m (h = 1,0 m) và không phân biệt cây theo cách phân loại(A, B, C) áp dụng cho các loại cây trồng có hình dáng thon và thẳng đứng; trườnghợp các loại cây trồng có hình dáng phân nhánh gần sát mặt đất, không thể xácđịnh đường kính gốc theo quy định 1,0 m thì phụ thuộc vào vị trí phân nhánh đầutiên để xác định đường kính gốc cho loại cây trồng đó. Giá trị để tính hỗ trợthiệt hại đối với cây trồng vượt tiêu chuẩn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Cây Sầu Riêng: có đường kính gốctrên 30 cm (đkg &gt; 30 cm), được bồi thường với giá 1.100.000 đ/cây.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Cây Măng Cụt: có đường kính gốctrên 30 cm (đkg &gt; 30 cm), được bồi thường với giá 1.200.000 đ/cây.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Cây Vú Sữa: có đường kính gốctrên 25 cm (đkg &gt; 25 cm), được bồi thường với giá 700.000 đ/cây.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Cây Xoài (Thái Lan, Cát Hòa Lộc,Cát Đài Loan, Cát Chu, Bắc Tam Băng): có đường kính gốc trên 30 cm (đkg &gt; 30cm), được bồi thường với giá 900.000 đ/cây.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Bưởi (Năm Roi, Da xanh): có đườngkính gốc trên 20 cm (đkg &gt; 20 cm), được bồi thường với giá 800.000 đ/cây.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w:t>
      </w:r>
      <w:r>
        <w:t xml:space="preserve"> Đường kính (ĐK) câylấy gỗ: tính theo đường kính gốc cây và điểm được xác định tính từ gốc cây trồngđến vị trí 1,3m là gốc chuẩn để đo.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loại cây lấy gỗ có đườngkính gốc lớn hơn đường kính gốc của cây loại A thì tùy theo đặc điểm cây, đặcđiểm vườn cây mà Ban Bồi thường thiệt hại, giải phóng mặt bằng (BTTH-GPMB) cáccấp xem xét đề xuất giá, thông qua Hội đồng bồi thường của dự án trình cấp thẩmquyền quyết định từng trường hợp cụ thể.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giá câytrồng chưa được phân loại A, B, 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loại cây trồng nhỏ chưa đượcphân loại thành cây loại A, B, C theo quy định thì được hỗ trợ chi phí về giốngvà công chăm sóc, mức hỗ trợ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cây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Sầu riêng ghép, măng cụt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Sầu riêng hột, xoài hột, nhãn nhỏ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Bưởi ghép, chiết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Dừa, sa bô, vải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Hạnh, tiêu, mận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Xoài 1 cơi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Xoài 2 cơi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Xoài 3 cơi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Xoài hột cao trên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Xoài hột cao trên 0.3m đến dưới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Nhãn cao trên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Nhãn cao trên 0.3m đến dưới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Quít ghép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Quít hột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sành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cây trồng khác có kích thướcnhỏ hơn cây loại C, cây trồng trong vườn ươm cây giống, cây trồng mới, lạ chưacó đơn giá chuẩn thì căn cứ đặc điểm cây, đặc điểm vườn cây cụ thể mà Ban BTTH-GPMBcác cấp xem xét đề xuất giá, thông qua Hội đồng bồi thường của dự án trình cấpthẩm quyền quyết định cho phù hợp.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Mật độ cây trồng quy định chuẩn: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cây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(m) /cây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x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Đu đủ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x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phê, lựu, ổi, lê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x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x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Cau, mãng cầu, thanh long, tiêu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x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 sành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x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na, cam mật, chanh, quít, sảnh, chùm ruột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x 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Bơ, ca cao, khế, mận, sơri, táo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x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 nhãn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x 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Bòn bon, bưởi đặc sản, bưởi thường, chôm chôm, đào lộn hột, dâu, điều, hồng, Lêkima, mít, vải thiều, vú sữa, xoài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x 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 bô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x 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x 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Dừa, măng cụt, sầu riêng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x 6,0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cây trồng còn lại khôngnằm trong bảng quy định về mật độ cây trồng nêu trên thì được tính theo số lượngthực tế.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Tính mật độ cây trồng: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Áp dụng theo mức quy định trồng xencây trồng phụ theo Quyết định số 4013/QĐ-BNN-KHCN ngày 18/12/2007 của Bộ Nôngnghiệp và Phát triển nông thôn về phê duyệt quy định tạm thời định mức áp dụngtrong các chương trình, dự án khuyến nông,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Mật độ trồng xen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cách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Mật độ cây/ha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trồng xen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 x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4444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x 1,6 đến 2,5 x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 ~ 3.906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x 2,6 đến 3,5 x 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816 ~ 1.479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x 3,6 đến 4,5 x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494 ~ 772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4,6 x 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trong vườn trồng một loại câytrồng với mật độ cao hơn mật độ tại Quyết định này hoặc có trồng xen nhiều loạicây trồng thì chọn cây trồng chính có giá trị bồi thường cao và chiếm số lượnglớn để tính giá trị bồi thường theo mật độ 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chỉ trồng một loại cây trồngchính nhưng mật độ cao hơn mật độ quy định hoặc có trồng xen với mật độ cao hơnmật độ quy định thì tính giá trị cây trồng chính cộng thêm giá trị tỷ lệ trồngxen theo “Bảng mật độ trồng xen” và giá trị của cây trồng chính trồng vượt mậtđộ hoặc cây trồng khác trồng xen được tính giá trị bồi thường theo loại A củacây trồng chính, bất kể cây trồng chính đang ở nhiều giai đoạn khác 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cây trồng chính trongvườn nhưng mật độ trồng thấp hơn mật độ quy định nêu trên thì giá trị giảm đicủa cây trồng chính sẽ được tính thêm cho cây trồng phụ (phần tăng thêm của câytrồng phụ bằng phần giảm đi của cây trồng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trường hợp vườn cây đượcchia ra làm nhiều khu và các khu trồng các loại cây trồng chính khác nhau, nếu chủhộ có yêu cầu thì phải chọn loại cây trồng chính của từng khu để làm tiêu chuẩntính cho khu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vườn cây được trồngnhiều cây trồng xen khác nhau, nhưng trồng dày hơn mật độ quy định, nếu chủ hộ cóyêu cầu đếm toàn bộ các cây trong vườn thì thực hiện đếm từng loại cây, lấy tổngdiện tích của từng loại cây theo mật độ của quy định này và quy về mức chuẩn đểtính mức bồi hoàn hiện tại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các loại cây trồng,trồng xen nhau nhưng theo đúng mật độ quy định thì vẫn tính đối với từng loại câytheo đơn giá 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tùy từng dự án, từng trườnghợp cụ thể về kỹ thuật trồng, đặc điểm vườn cây mà Ban BTTH-GPMB các cấp ápdụng mật độ cây trồng, tính giá trị bồi thường, hỗ trợ thiệt hại về cây trồng thôngqua Hội đồng bồi thường của dự án trình cấp thẩm quyền xem xét, quyết định chophù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cóhiệu lực thi hành sau 10 (mười) ngày, kể từ ngày ký ban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thế Quyết định số 174/2004/QĐ-UB ngày 31/12/2004 của UBND tỉnh Hậu Giang V/v ban hành quy định vềđơn giá và mật độ cây trồng để tính giá trị bồi thường, hỗ trợ thiệt hại khiNhà nước thu hồi đất trên địa bàn tỉnh Hậu Giang và các Quyết định trước đâytrái với nội dung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Ủyban nhân dân tỉnh, Giám đốc Sở, Thủ trưởng cơ quan Ban, ngành tỉnh, Chủ tịch Ủyban nhân dân huyện, thị xã và đơn vị, cá nhân có liên quan chịu trách nhiệm thihành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t xml:space="preserve">- VP Chính phủ (HN-TP.HCM);</w:t>
            </w:r>
            <w:r>
              <w:rPr/>
              <w:br/>
            </w:r>
            <w:r>
              <w:t xml:space="preserve">- Bộ: TN &amp; MT, Tài chính, Xây dựng;</w:t>
            </w:r>
            <w:r>
              <w:rPr/>
              <w:br/>
            </w:r>
            <w:r>
              <w:t xml:space="preserve">- Cục Kiểm tra văn bản - Bộ Tư pháp;</w:t>
            </w:r>
            <w:r>
              <w:rPr/>
              <w:br/>
            </w:r>
            <w:r>
              <w:t xml:space="preserve">- TT: TU, HĐND, UBND tỉnh; </w:t>
            </w:r>
            <w:r>
              <w:rPr/>
              <w:br/>
            </w:r>
            <w:r>
              <w:t xml:space="preserve">- UBMTTQ, các Đoàn thể tỉnh;</w:t>
            </w:r>
            <w:r>
              <w:rPr/>
              <w:br/>
            </w:r>
            <w:r>
              <w:t xml:space="preserve">- Như Điều 3;</w:t>
            </w:r>
            <w:r>
              <w:rPr/>
              <w:br/>
            </w:r>
            <w:r>
              <w:t xml:space="preserve">- VP Tỉnh ủy, các Ban Đảng;</w:t>
            </w:r>
            <w:r>
              <w:rPr/>
              <w:br/>
            </w:r>
            <w:r>
              <w:t xml:space="preserve">- TAND, VKSND tỉnh;</w:t>
            </w:r>
            <w:r>
              <w:rPr/>
              <w:br/>
            </w:r>
            <w:r>
              <w:t xml:space="preserve">- Cơ quan Báo, Đài tỉnh; </w:t>
            </w:r>
            <w:r>
              <w:rPr/>
              <w:br/>
            </w:r>
            <w:r>
              <w:t xml:space="preserve">- Công báo tỉnh;</w:t>
            </w:r>
            <w:r>
              <w:rPr/>
              <w:br/>
            </w:r>
            <w:r>
              <w:t xml:space="preserve">- Phòng VB -TT, Sở Tư pháp;</w:t>
            </w:r>
            <w:r>
              <w:rPr/>
              <w:br/>
            </w:r>
            <w:r>
              <w:t xml:space="preserve">- Lưu: VT, NCTH . MK</w:t>
            </w:r>
            <w:r>
              <w:rPr/>
              <w:br/>
            </w:r>
            <w:r>
              <w:t xml:space="preserve">D:\2010\PhapQuy\</w:t>
            </w:r>
            <w:r>
              <w:rPr/>
              <w:br/>
            </w:r>
            <w:r>
              <w:t xml:space="preserve">Quyết định Mat do Cay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Huỳnh Minh Chắc</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97-2004-nd-cp-quy-dinh-ve-boi-thuong--ho-tro-va-tai-dinh-cu-khi-nha-nuoc-thu-hoi-da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2022-06-20T22:57:35Z</dcterms:created>
  <dcterms:modified xsi:type="dcterms:W3CDTF">2022-06-20T22:57:35Z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2022-06-20T22:57:35Z</dcterms:created>
  <dcterms:modified xsi:type="dcterms:W3CDTF">2022-06-20T22:57:35Z</dcterms:modified>
</cp:coreProperties>
</file>