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mẫu quyết định </w:t>
        </w:r>
        <w:r>
          <w:rPr>
            <w:rStyle w:val="Hyperlink"/>
            <w:b/>
          </w:rPr>
          <w:t xml:space="preserve">157/2007/QĐ-TTg về tín dụng đối với học sinh, sinh viên</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Minh Khuê cung cấp dịch vụ luật sư tư vấn pháp luật qua điện thoại để giải đáp các vấn đề pháp lý trong lĩnh vực doanh nghiệp, sở hữu trí tuệ, đầu tư nước ngoài, thuế, đất đai và tranh tụng tại tòa án. Thông tin pháp luật liên quan vui lòng liên hệ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157/2007/QĐ-TTg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 ngày 27 tháng 9 năm 2007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tín dụng đối với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8" w:history="1">
        <w:r>
          <w:rPr>
            <w:rStyle w:val="Hyperlink"/>
          </w:rPr>
          <w:t xml:space="preserve">78/2002/NĐ-CP </w:t>
        </w:r>
        <w:r>
          <w:t xml:space="preserve"> ngày 04 tháng 10 năm 2002 của Chính phủ về tín dụng đối với người nghèo và các đối tượng chính sách khác;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2"/>
        <w:rPr>
          <w:vanish w:val="0"/>
        </w:rPr>
      </w:pPr>
      <w:r>
        <w:t xml:space="preserve">Điều 1. Phạm vi áp dụng:</w:t>
      </w:r>
    </w:p>
    <w:p>
      <w:pPr>
        <w:pStyle w:val="Normal(Web)"/>
        <w:divId w:val="3"/>
        <w:rPr>
          <w:vanish w:val="0"/>
        </w:rPr>
      </w:pPr>
      <w:r>
        <w:t xml:space="preserve">Chính sách tín dụng đối với học sinh, sinh viên được áp dụng để hỗ trợ cho học sinh, sinh viên có hoàn cảnh khó khăn góp phần trang trải chi phí cho việc học tập, sinh hoạt của học sinh, sinh viên trong thời gian theo học tại trường bao gồm: tiền học phí; chi phí mua sắm sách vở, phương tiện học tập, chi phí ăn, ở, đi lại.</w:t>
      </w:r>
    </w:p>
    <w:p>
      <w:pPr>
        <w:pStyle w:val="Normal(Web)"/>
        <w:divId w:val="4"/>
        <w:rPr>
          <w:vanish w:val="0"/>
        </w:rPr>
      </w:pPr>
      <w:r>
        <w:t xml:space="preserve">Điều 2. Đối tượng được vay vốn:</w:t>
      </w:r>
    </w:p>
    <w:p>
      <w:pPr>
        <w:pStyle w:val="Normal(Web)"/>
        <w:divId w:val="5"/>
        <w:rPr>
          <w:vanish w:val="0"/>
        </w:rPr>
      </w:pPr>
      <w:r>
        <w:t xml:space="preserve">Học sinh, sinh viên có hoàn cảnh khó khăn theo học tại các trường đại học (hoặc tương đương đại học), cao đẳng, trung cấp chuyên nghiệp và tại các cơ sở đào tạo nghề được thành lập và hoạt động theo quy định của pháp luật Việt Nam, gồm: </w:t>
      </w:r>
    </w:p>
    <w:p>
      <w:pPr>
        <w:pStyle w:val="Normal(Web)"/>
        <w:divId w:val="6"/>
        <w:rPr>
          <w:vanish w:val="0"/>
        </w:rPr>
      </w:pPr>
      <w:r>
        <w:t xml:space="preserve">1. Học sinh, sinh viên mồ côi cả cha lẫn mẹ hoặc chỉ mồ côi cha hoặc mẹ nhưng người còn lại không có khả năng lao động. </w:t>
      </w:r>
    </w:p>
    <w:p>
      <w:pPr>
        <w:pStyle w:val="Normal(Web)"/>
        <w:divId w:val="7"/>
        <w:rPr>
          <w:vanish w:val="0"/>
        </w:rPr>
      </w:pPr>
      <w:r>
        <w:t xml:space="preserve">2. Học sinh, sinh viên là thành viên của hộ gia đình thuộc một trong các đối tượng:</w:t>
      </w:r>
    </w:p>
    <w:p>
      <w:pPr>
        <w:pStyle w:val="Normal(Web)"/>
        <w:divId w:val="8"/>
        <w:rPr>
          <w:vanish w:val="0"/>
        </w:rPr>
      </w:pPr>
      <w:r>
        <w:t xml:space="preserve">- Hộ nghèo theo tiêu chuẩn quy định của pháp luật.</w:t>
      </w:r>
    </w:p>
    <w:p>
      <w:pPr>
        <w:pStyle w:val="Normal(Web)"/>
        <w:divId w:val="9"/>
        <w:rPr>
          <w:vanish w:val="0"/>
        </w:rPr>
      </w:pPr>
      <w:r>
        <w:t xml:space="preserve">- Hộ gia đình có mức thu nhập bình quân đầu người tối đa bằng 150% mức thu nhập bình quân đầu người của hộ gia đình nghèo theo quy định của pháp luật.</w:t>
      </w:r>
    </w:p>
    <w:p>
      <w:pPr>
        <w:pStyle w:val="Normal(Web)"/>
        <w:divId w:val="10"/>
        <w:rPr>
          <w:vanish w:val="0"/>
        </w:rPr>
      </w:pPr>
      <w:r>
        <w:t xml:space="preserve">3. Học sinh, sinh viên mà gia đình gặp khó khăn về tài chính do tai nạn, bệnh tật, thiên tai, hoả hoạn, dịch bệnh trong thời gian theo học có xác nhận của Ủy ban nhân dân xã, phường, thị trấn nơi cư trú.</w:t>
      </w:r>
    </w:p>
    <w:p>
      <w:pPr>
        <w:pStyle w:val="Normal(Web)"/>
        <w:divId w:val="11"/>
        <w:rPr>
          <w:vanish w:val="0"/>
        </w:rPr>
      </w:pPr>
      <w:r>
        <w:t xml:space="preserve">Điều 3. Phương thức cho vay:</w:t>
      </w:r>
    </w:p>
    <w:p>
      <w:pPr>
        <w:pStyle w:val="Normal(Web)"/>
        <w:divId w:val="12"/>
        <w:rPr>
          <w:vanish w:val="0"/>
        </w:rPr>
      </w:pPr>
      <w:r>
        <w:t xml:space="preserve">1. Việc cho vay đối với học sinh, sinh viên được thực hiện theo phương thức cho vay thông qua hộ gia đình. Đại diện hộ gia đình là người trực tiếp vay vốn và có trách nhiệm trả nợ Ngân hàng Chính sách xã hội. Trường hợp học sinh, sinh viên mồ côi cả cha lẫn mẹ hoặc chỉ mồ côi cha hoặc mẹ nhưng người còn lại không có khả năng lao động, được trực tiếp vay vốn tại Ngân hàng Chính sách xã hội nơi nhà trường đóng trụ sở.</w:t>
      </w:r>
    </w:p>
    <w:p>
      <w:pPr>
        <w:pStyle w:val="Normal(Web)"/>
        <w:divId w:val="13"/>
        <w:rPr>
          <w:vanish w:val="0"/>
        </w:rPr>
      </w:pPr>
      <w:r>
        <w:t xml:space="preserve">2. Giao Ngân hàng Chính sách xã hội thực hiện cho vay đối với học sinh, sinh viên. </w:t>
      </w:r>
    </w:p>
    <w:p>
      <w:pPr>
        <w:pStyle w:val="Normal(Web)"/>
        <w:divId w:val="14"/>
        <w:rPr>
          <w:vanish w:val="0"/>
        </w:rPr>
      </w:pPr>
      <w:r>
        <w:t xml:space="preserve">Điều 4. Điều kiện vay vốn:</w:t>
      </w:r>
    </w:p>
    <w:p>
      <w:pPr>
        <w:pStyle w:val="Normal(Web)"/>
        <w:divId w:val="15"/>
        <w:rPr>
          <w:vanish w:val="0"/>
        </w:rPr>
      </w:pPr>
      <w:r>
        <w:t xml:space="preserve">1. Học sinh, sinh viên đang sinh sống trong hộ gia đình cư trú hợp pháp tại địa phương nơi cho vay có đủ các tiêu chuẩn quy định tại Điều 2 Quyết định này.</w:t>
      </w:r>
    </w:p>
    <w:p>
      <w:pPr>
        <w:pStyle w:val="Normal(Web)"/>
        <w:divId w:val="16"/>
        <w:rPr>
          <w:vanish w:val="0"/>
        </w:rPr>
      </w:pPr>
      <w:r>
        <w:t xml:space="preserve">2. Đối với học sinh, sinh viên năm thứ nhất phải có giấy báo trúng tuyển hoặc giấy xác nhận được vào học của nhà trường. </w:t>
      </w:r>
    </w:p>
    <w:p>
      <w:pPr>
        <w:pStyle w:val="Normal(Web)"/>
        <w:divId w:val="17"/>
        <w:rPr>
          <w:vanish w:val="0"/>
        </w:rPr>
      </w:pPr>
      <w:r>
        <w:t xml:space="preserve">3. Đối với học sinh, sinh viên từ năm thứ hai trở đi phải có xác nhận của nhà trường về việc đang theo học tại trường và không bị xử phạt hành chính trở lên về các hành vi: cờ bạc, nghiện hút, trộm cắp, buôn lậu.</w:t>
      </w:r>
    </w:p>
    <w:p>
      <w:pPr>
        <w:pStyle w:val="Normal(Web)"/>
        <w:divId w:val="18"/>
        <w:rPr>
          <w:vanish w:val="0"/>
        </w:rPr>
      </w:pPr>
      <w:r>
        <w:t xml:space="preserve">Điều 5. Mức vốn cho vay:</w:t>
      </w:r>
    </w:p>
    <w:p>
      <w:pPr>
        <w:pStyle w:val="Normal(Web)"/>
        <w:divId w:val="19"/>
        <w:rPr>
          <w:vanish w:val="0"/>
        </w:rPr>
      </w:pPr>
      <w:r>
        <w:t xml:space="preserve">1. Mức vốn cho vay tối đa là 800.000 đồng/tháng/học sinh, sinh viên. </w:t>
      </w:r>
    </w:p>
    <w:p>
      <w:pPr>
        <w:pStyle w:val="Normal(Web)"/>
        <w:divId w:val="20"/>
        <w:rPr>
          <w:vanish w:val="0"/>
        </w:rPr>
      </w:pPr>
      <w:r>
        <w:t xml:space="preserve">2. Ngân hàng Chính sách xã hội quy định mức cho vay cụ thể đối với học sinh, sinh viên căn cứ vào mức thu học phí của từng trường và sinh hoạt phí theo vùng nhưng không vượt quá mức cho vay quy định tại khoản 1 Điều này.</w:t>
      </w:r>
    </w:p>
    <w:p>
      <w:pPr>
        <w:pStyle w:val="Normal(Web)"/>
        <w:divId w:val="21"/>
        <w:rPr>
          <w:vanish w:val="0"/>
        </w:rPr>
      </w:pPr>
      <w:r>
        <w:t xml:space="preserve">3. Khi chính sách học phí của Nhà nước có thay đổi và giá cả sinh hoạt có biến động, Ngân hàng Chính sách xã hội thống nhất với Bộ trưởng Bộ Tài chính trình Thủ tướng Chính phủ xem xét, quyết định điều chỉnh mức vốn cho vay.</w:t>
      </w:r>
    </w:p>
    <w:p>
      <w:pPr>
        <w:pStyle w:val="Normal(Web)"/>
        <w:divId w:val="22"/>
        <w:rPr>
          <w:vanish w:val="0"/>
        </w:rPr>
      </w:pPr>
      <w:r>
        <w:t xml:space="preserve">Điều 6. Thời hạn cho vay:</w:t>
      </w:r>
    </w:p>
    <w:p>
      <w:pPr>
        <w:pStyle w:val="Normal(Web)"/>
        <w:divId w:val="23"/>
        <w:rPr>
          <w:vanish w:val="0"/>
        </w:rPr>
      </w:pPr>
      <w:r>
        <w:t xml:space="preserve">1. Thời hạn cho vay là khoảng thời gian được tính từ ngày đối tượng được vay vốn bắt đầu nhận vốn vay cho đến ngày trả hết nợ (gốc và lãi) được ghi trong hợp đồng tín dụng. Thời hạn cho vay bao gồm thời hạn phát tiền vay và thời hạn trả nợ.</w:t>
      </w:r>
    </w:p>
    <w:p>
      <w:pPr>
        <w:pStyle w:val="Normal(Web)"/>
        <w:divId w:val="24"/>
        <w:rPr>
          <w:vanish w:val="0"/>
        </w:rPr>
      </w:pPr>
      <w:r>
        <w:t xml:space="preserve">2. Thời hạn phát tiền vay là khoảng thời gian tính từ ngày đối tượng được vay vốn nhận món vay đầu tiên cho đến ngày học sinh, sinh viên kết thúc khoá học, kể cả thời gian học sinh, sinh viên được các trường cho phép nghỉ học có thời hạn và được bảo lưu kết quả học tập (nếu có). Thời hạn phát tiền vay được chia thành các kỳ hạn phát tiền vay do Ngân hàng Chính sách xã hội quy định hoặc thoả thuận với đối tượng được vay vốn. </w:t>
      </w:r>
    </w:p>
    <w:p>
      <w:pPr>
        <w:pStyle w:val="Normal(Web)"/>
        <w:divId w:val="25"/>
        <w:rPr>
          <w:vanish w:val="0"/>
        </w:rPr>
      </w:pPr>
      <w:r>
        <w:t xml:space="preserve">3. Thời hạn trả nợ là khoảng thời gian tính từ ngày đối tượng được vay vốn trả món nợ đầu tiên đến ngày trả hết nợ (gốc và lãi). Đối với các chương trình đào tạo có thời gian đào tạo không quá một năm, thời hạn trả nợ tối đa bằng 2 lần thời hạn phát tiền vay, đối với các chương trình đào tạo khác, thời hạn trả nợ tối đa bằng thời hạn phát tiền vay. Thời hạn trả nợ được chia thành các kỳ hạn trả nợ do Ngân hàng Chính sách xã hội quy định.</w:t>
      </w:r>
    </w:p>
    <w:p>
      <w:pPr>
        <w:pStyle w:val="Normal(Web)"/>
        <w:divId w:val="26"/>
        <w:rPr>
          <w:vanish w:val="0"/>
        </w:rPr>
      </w:pPr>
      <w:r>
        <w:t xml:space="preserve">Điều 7. Lãi suất cho vay:</w:t>
      </w:r>
    </w:p>
    <w:p>
      <w:pPr>
        <w:pStyle w:val="Normal(Web)"/>
        <w:divId w:val="27"/>
        <w:rPr>
          <w:vanish w:val="0"/>
        </w:rPr>
      </w:pPr>
      <w:r>
        <w:t xml:space="preserve">1. Lãi suất cho vay ưu đãi đối với học sinh, sinh viên là 0,5%/tháng. </w:t>
      </w:r>
    </w:p>
    <w:p>
      <w:pPr>
        <w:pStyle w:val="Normal(Web)"/>
        <w:divId w:val="28"/>
        <w:rPr>
          <w:vanish w:val="0"/>
        </w:rPr>
      </w:pPr>
      <w:r>
        <w:t xml:space="preserve">2. Lãi suất nợ quá hạn được tính bằng 130% lãi suất khi cho vay.</w:t>
      </w:r>
    </w:p>
    <w:p>
      <w:pPr>
        <w:pStyle w:val="Normal(Web)"/>
        <w:divId w:val="29"/>
        <w:rPr>
          <w:vanish w:val="0"/>
        </w:rPr>
      </w:pPr>
      <w:r>
        <w:t xml:space="preserve">Điều 8. Hồ sơ vay vốn, trình tự và thủ tục cho vay, trả nợ:</w:t>
      </w:r>
    </w:p>
    <w:p>
      <w:pPr>
        <w:pStyle w:val="Normal(Web)"/>
        <w:divId w:val="30"/>
        <w:rPr>
          <w:vanish w:val="0"/>
        </w:rPr>
      </w:pPr>
      <w:r>
        <w:t xml:space="preserve">Ngân hàng Chính sách xã hội quy định hồ sơ vay vốn, trình tự và thủ tục cho vay, trả nợ bảo đảm đơn giản, rõ ràng, dễ thực hiện.</w:t>
      </w:r>
    </w:p>
    <w:p>
      <w:pPr>
        <w:pStyle w:val="Normal(Web)"/>
        <w:divId w:val="31"/>
        <w:rPr>
          <w:vanish w:val="0"/>
        </w:rPr>
      </w:pPr>
      <w:r>
        <w:t xml:space="preserve">Điều 9. Trả nợ gốc và lãi tiền vay: </w:t>
      </w:r>
    </w:p>
    <w:p>
      <w:pPr>
        <w:pStyle w:val="Normal(Web)"/>
        <w:divId w:val="32"/>
        <w:rPr>
          <w:vanish w:val="0"/>
        </w:rPr>
      </w:pPr>
      <w:r>
        <w:t xml:space="preserve">1. Trong thời hạn phát tiền vay đối tượng được vay vốn chưa phải trả nợ gốc và lãi; lãi tiền vay được tính kể từ ngày đối tượng được vay vốn nhận món vay đầu tiên đến ngày trả hết nợ gốc. </w:t>
      </w:r>
    </w:p>
    <w:p>
      <w:pPr>
        <w:pStyle w:val="Normal(Web)"/>
        <w:divId w:val="33"/>
        <w:rPr>
          <w:vanish w:val="0"/>
        </w:rPr>
      </w:pPr>
      <w:r>
        <w:t xml:space="preserve">2. Đối tượng được vay vốn phải trả nợ gốc và lãi tiền vay lần đầu tiên ngay sau khi học sinh, sinh viên có việc làm, có thu nhập nhưng không quá 12 tháng kể từ ngày học sinh, sinh viên kết thúc khoá học. </w:t>
      </w:r>
    </w:p>
    <w:p>
      <w:pPr>
        <w:pStyle w:val="Normal(Web)"/>
        <w:divId w:val="34"/>
        <w:rPr>
          <w:vanish w:val="0"/>
        </w:rPr>
      </w:pPr>
      <w:r>
        <w:t xml:space="preserve">3. Mức trả nợ mỗi lần do Ngân hàng Chính sách xã hội hướng dẫn và được thống nhất trong hợp đồng tín dụng.</w:t>
      </w:r>
    </w:p>
    <w:p>
      <w:pPr>
        <w:pStyle w:val="Normal(Web)"/>
        <w:divId w:val="35"/>
        <w:rPr>
          <w:vanish w:val="0"/>
        </w:rPr>
      </w:pPr>
      <w:r>
        <w:t xml:space="preserve">Điều 10. Ưu đãi lãi suất trong trường hợp trả nợ trước hạn:</w:t>
      </w:r>
    </w:p>
    <w:p>
      <w:pPr>
        <w:pStyle w:val="Normal(Web)"/>
        <w:divId w:val="36"/>
        <w:rPr>
          <w:vanish w:val="0"/>
        </w:rPr>
      </w:pPr>
      <w:r>
        <w:t xml:space="preserve">Trường hợp đối tượng vay vốn trả nợ trước hạn đã cam kết trong hợp đồng tín dụng lãi suất phải trả sẽ được giảm lãi vay. Ngân hàng Chính sách xã hội quy định cụ thể mức ưu đãi lãi suất trong trường hợp trả nợ trước hạn.</w:t>
      </w:r>
    </w:p>
    <w:p>
      <w:pPr>
        <w:pStyle w:val="Normal(Web)"/>
        <w:divId w:val="37"/>
        <w:rPr>
          <w:vanish w:val="0"/>
        </w:rPr>
      </w:pPr>
      <w:r>
        <w:t xml:space="preserve">Điều 11. Điều chỉnh kỳ hạn trả nợ, gia hạn trả nợ và chuyển nợ quá hạn:</w:t>
      </w:r>
    </w:p>
    <w:p>
      <w:pPr>
        <w:pStyle w:val="Normal(Web)"/>
        <w:divId w:val="38"/>
        <w:rPr>
          <w:vanish w:val="0"/>
        </w:rPr>
      </w:pPr>
      <w:r>
        <w:t xml:space="preserve">1. Đến kỳ trả nợ cuối cùng, người vay có khó khăn chưa trả được n���, phải có văn bản đề nghị gia hạn nợ thì được Ngân hàng Chính sách xã hội xem xét cho gia hạn nợ cho đối tượng vay vốn; thời gian gia hạn nợ tối đa bằng 1/2 thời hạn trả nợ.</w:t>
      </w:r>
    </w:p>
    <w:p>
      <w:pPr>
        <w:pStyle w:val="Normal(Web)"/>
        <w:divId w:val="39"/>
        <w:rPr>
          <w:vanish w:val="0"/>
        </w:rPr>
      </w:pPr>
      <w:r>
        <w:t xml:space="preserve">2. Trường hợp đối tượng được vay vốn không trả nợ đúng hạn theo kỳ hạn trả nợ cuối cùng và không được phép gia hạn nợ, Ngân hàng Chính sách xã hội chuyển thành nợ quá hạn. Ngân hàng Chính sách xã hội phối hợp với chính quyền địa phương, các tổ chức chính trị - xã hội có biện pháp thu hồi nợ.</w:t>
      </w:r>
    </w:p>
    <w:p>
      <w:pPr>
        <w:pStyle w:val="Normal(Web)"/>
        <w:divId w:val="40"/>
        <w:rPr>
          <w:vanish w:val="0"/>
        </w:rPr>
      </w:pPr>
      <w:r>
        <w:t xml:space="preserve">3. Ngân hàng Chính sách xã hội quy định cụ thể việc điều chỉnh kỳ hạn trả nợ, gia hạn trả nợ và chuyển nợ quá hạn.</w:t>
      </w:r>
    </w:p>
    <w:p>
      <w:pPr>
        <w:pStyle w:val="Normal(Web)"/>
        <w:divId w:val="41"/>
        <w:rPr>
          <w:vanish w:val="0"/>
        </w:rPr>
      </w:pPr>
      <w:r>
        <w:t xml:space="preserve">Điều 12. Xử lý rủi ro do nguyên nhân khách quan: </w:t>
      </w:r>
    </w:p>
    <w:p>
      <w:pPr>
        <w:pStyle w:val="Normal(Web)"/>
        <w:divId w:val="42"/>
        <w:rPr>
          <w:vanish w:val="0"/>
        </w:rPr>
      </w:pPr>
      <w:r>
        <w:t xml:space="preserve">Việc xử lý nợ bị rủi ro do nguyên nhân khách quan được thực hiện theo quy định về quy chế xử lý nợ bị rủi ro tại Ngân hàng Chính sách xã hội.</w:t>
      </w:r>
    </w:p>
    <w:p>
      <w:pPr>
        <w:pStyle w:val="Normal(Web)"/>
        <w:divId w:val="43"/>
        <w:rPr>
          <w:vanish w:val="0"/>
        </w:rPr>
      </w:pPr>
      <w:r>
        <w:t xml:space="preserve">Điều 13. Trách nhiệm của các cơ quan:</w:t>
      </w:r>
    </w:p>
    <w:p>
      <w:pPr>
        <w:pStyle w:val="Normal(Web)"/>
        <w:divId w:val="44"/>
        <w:rPr>
          <w:vanish w:val="0"/>
        </w:rPr>
      </w:pPr>
      <w:r>
        <w:t xml:space="preserve">1. Bộ Tài chính chủ trì, phối hợp với Bộ Kế hoạch và Đầu tư bố trí nguồn vốn nhà nước để cho học sinh, sinh viên vay và kinh phí cấp bù chênh lệch lãi suất, phí quản lý để Ngân hàng Chính sách xã hội thực hiện tốt việc cho học sinh, sinh viên vay vốn.</w:t>
      </w:r>
    </w:p>
    <w:p>
      <w:pPr>
        <w:pStyle w:val="Normal(Web)"/>
        <w:divId w:val="45"/>
        <w:rPr>
          <w:vanish w:val="0"/>
        </w:rPr>
      </w:pPr>
      <w:r>
        <w:t xml:space="preserve">2. Bộ Giáo dục và Đào tạo, Bộ Lao động - Thương binh và Xã hội, các Bộ, ngành:</w:t>
      </w:r>
    </w:p>
    <w:p>
      <w:pPr>
        <w:pStyle w:val="Normal(Web)"/>
        <w:divId w:val="46"/>
        <w:rPr>
          <w:vanish w:val="0"/>
        </w:rPr>
      </w:pPr>
      <w:r>
        <w:t xml:space="preserve">a) Chỉ đạo các trường đại học, cao đẳng, trung cấp chuyên nghiệp và các cơ sở đào tạo nghề thuộc quyền quản lý phối hợp với Ủy ban nhân dân địa phương và Ngân hàng Chính sách xã hội tổ chức thực hiện chính sách tín dụng học sinh, sinh viên.</w:t>
      </w:r>
    </w:p>
    <w:p>
      <w:pPr>
        <w:pStyle w:val="Normal(Web)"/>
        <w:divId w:val="47"/>
        <w:rPr>
          <w:vanish w:val="0"/>
        </w:rPr>
      </w:pPr>
      <w:r>
        <w:t xml:space="preserve">b) Chỉ đạo các trường đại học, cao đẳng, trung cấp chuyên nghiệp và các cơ sở đào tạo nghề thực hiện xác nhận việc học sinh, sinh viên đang theo học tại trường có đủ điều kiện vay vốn quy định tại các khoản 2, 3 Điều 4 Quyết định này.</w:t>
      </w:r>
    </w:p>
    <w:p>
      <w:pPr>
        <w:pStyle w:val="Normal(Web)"/>
        <w:divId w:val="48"/>
        <w:rPr>
          <w:vanish w:val="0"/>
        </w:rPr>
      </w:pPr>
      <w:r>
        <w:t xml:space="preserve">3. Ủy ban nhân dân các tỉnh, thành phố trực thuộc Trung ương: chỉ đạo các cơ quan chức năng và Ủy ban nhân dân các cấp thực hiện chính sách tín dụng đối với học sinh, sinh viên theo đúng quy định của pháp luật và Quyết định này.</w:t>
      </w:r>
    </w:p>
    <w:p>
      <w:pPr>
        <w:pStyle w:val="Normal(Web)"/>
        <w:divId w:val="49"/>
        <w:rPr>
          <w:vanish w:val="0"/>
        </w:rPr>
      </w:pPr>
      <w:r>
        <w:t xml:space="preserve">4. Ngân hàng Chính sách xã hội chịu trách nhiệm hướng dẫn hồ sơ xin vay vốn, trình tự và thủ tục cho vay, kỳ hạn trả nợ, mức trả nợ, gia hạn trả nợ, chuyển nợ quá hạn đối với học sinh, sinh viên theo quy định. Tổ chức huy động vốn để bổ sung nguồn vốn cho vay đối với học sinh, sinh viên. Phối hợp chặt chẽ, thường xuyên với các trường đại học, cao đẳng, trung cấp chuyên nghiệp và các cơ sở đào tạo nghề trong quá trình cho vay để vốn vay được sử dụng đúng mục đích, tạo điều kiện thuận lợi cho học sinh, sinh viên trong việc nhận tiền vay và đóng học phí. </w:t>
      </w:r>
    </w:p>
    <w:p>
      <w:pPr>
        <w:pStyle w:val="Normal(Web)"/>
        <w:divId w:val="50"/>
        <w:rPr>
          <w:vanish w:val="0"/>
        </w:rPr>
      </w:pPr>
      <w:r>
        <w:t xml:space="preserve">5. Tổ chức, cá nhân sử dụng lao động là học sinh, sinh viên đã được vay vốn nhà nước theo quy định tại Quyết định này có trách nhiệm đôn đốc học sinh, sinh viên chuyển tiền về gia đình để trả nợ hoặc trực tiếp trả nợ Ngân hàng Chính sách xã hội.</w:t>
      </w:r>
    </w:p>
    <w:p>
      <w:pPr>
        <w:pStyle w:val="Normal(Web)"/>
        <w:divId w:val="51"/>
        <w:rPr>
          <w:vanish w:val="0"/>
        </w:rPr>
      </w:pPr>
      <w:r>
        <w:t xml:space="preserve">Điều 14. Xử lý vi phạm:</w:t>
      </w:r>
    </w:p>
    <w:p>
      <w:pPr>
        <w:pStyle w:val="Normal(Web)"/>
        <w:divId w:val="52"/>
        <w:rPr>
          <w:vanish w:val="0"/>
        </w:rPr>
      </w:pPr>
      <w:r>
        <w:t xml:space="preserve">Các tổ chức, cá nhân thực hiện không đúng quy định về tín dụng đối với học sinh, sinh viên quy định tại Quyết định này, tuỳ theo mức độ vi phạm sẽ xử lý theo quy định của pháp luật.</w:t>
      </w:r>
    </w:p>
    <w:p>
      <w:pPr>
        <w:pStyle w:val="Normal(Web)"/>
        <w:divId w:val="53"/>
        <w:rPr>
          <w:vanish w:val="0"/>
        </w:rPr>
      </w:pPr>
      <w:r>
        <w:t xml:space="preserve">Điều 15. Điều khoản thi hành:</w:t>
      </w:r>
    </w:p>
    <w:p>
      <w:pPr>
        <w:pStyle w:val="Normal(Web)"/>
        <w:divId w:val="54"/>
        <w:rPr>
          <w:vanish w:val="0"/>
        </w:rPr>
      </w:pPr>
      <w:r>
        <w:t xml:space="preserve">1. Quyết định này có hiệu lực thi hành kể từ ngày 01 tháng 10 năm 2007 và thay thế Quyết định số 107/2006/QĐ-TTg ngày 18 tháng 5 năm 2006 của Thủ tướng Chính phủ về tín dụng đối với học sinh, sinh viên. Các đối tượng đã được vay vốn theo Quyết định số 107/2006/QĐ-TTg ngày 18 tháng 5 năm 2006 được tiếp tục vay vốn theo quy định tại Quyết định này.</w:t>
      </w:r>
    </w:p>
    <w:p>
      <w:pPr>
        <w:pStyle w:val="Normal(Web)"/>
        <w:divId w:val="55"/>
        <w:rPr>
          <w:vanish w:val="0"/>
        </w:rPr>
      </w:pPr>
      <w:r>
        <w:t xml:space="preserve">2. Các Bộ trưởng, Thủ trưởng cơ quan ngang Bộ, Thủ trưởng cơ quan trực thuộc Chính phủ, Chủ tịch Ủy ban nhân dân tỉnh, thành phố trực thuộc Trung ương, Chủ tịch Hội đồng quản trị và Tổng giám đốc Ngân hàng Chính sách xã hội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THỦ TƯỚNG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PHÓ 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BCĐTW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 Nguyễn Sinh Hùng (</w:t>
      </w:r>
      <w:r>
        <w:t xml:space="preserve">đã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UBTW Mặt trận Tổ quốc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Chính sách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các PCN, Website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phát ngôn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Vụ, Cục, đơn vị trực thuộc,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Văn thư, KTTH (5b). A. </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quyet-dinh-157-2007-qd-ttg-cua-thu-tuong-chinh-phu-ve-tin-dung-doi-voi-hoc-sinh--sinh-vien.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78-2002-nd-cp-cua-chinh-phu---nghi-dinh-ve-tin-dung-doi-voi-nguoi-ngheo-va-cac-doi-tuong-chinh-sach-kha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2022-06-22T13:35:46Z</dcterms:created>
  <dcterms:modified xsi:type="dcterms:W3CDTF">2022-06-22T13:35:46Z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2022-06-22T13:35:46Z</dcterms:created>
  <dcterms:modified xsi:type="dcterms:W3CDTF">2022-06-22T13:35:46Z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2022-06-22T13:35:46Z</dcterms:created>
  <dcterms:modified xsi:type="dcterms:W3CDTF">2022-06-22T13:35:46Z</dcterms:modified>
</cp:coreProperties>
</file>