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BỘ XÂY DỰNG</w:t>
            </w:r>
            <w:r>
              <w:rPr>
                <w:b/>
              </w:rPr>
              <w:br/>
            </w:r>
            <w:r>
              <w:rPr>
                <w:b/>
              </w:rPr>
              <w:t xml:space="preserve">-------</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CỘNG HÒA XÃ HỘI CHỦ NGHĨA VIỆT NAM</w:t>
            </w:r>
            <w:r>
              <w:rPr>
                <w:b/>
              </w:rPr>
              <w:br/>
            </w:r>
            <w:r>
              <w:rPr>
                <w:b/>
              </w:rPr>
              <w:t xml:space="preserve">Độc lập - Tự do - Hạnh phúc </w:t>
            </w:r>
            <w:r>
              <w:rPr>
                <w:b/>
              </w:rPr>
              <w:br/>
            </w:r>
            <w:r>
              <w:rPr>
                <w:b/>
              </w:rPr>
              <w:t xml:space="preserve">---------------</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Số: </w:t>
            </w:r>
            <w:r>
              <w:t xml:space="preserve"> 592/QĐ-BXD </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Hà Nội, ngày 30 tháng 5 năm 2014</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QUYẾT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VỀ VIỆCCÔNG BỐ ĐỊNH MỨC DỰ TOÁN THU GOM, VẬN CHUYỂN VÀ XỬ LÝ CHẤT THẢI RẮN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BỘ TRƯỞNG BỘ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w:t>
      </w:r>
      <w:hyperlink r:id="rId3" w:history="1">
        <w:r>
          <w:rPr>
            <w:rStyle w:val="Hyperlink"/>
            <w:i/>
          </w:rPr>
          <w:t xml:space="preserve">62/2013/NĐ-CP </w:t>
        </w:r>
      </w:hyperlink>
      <w:r>
        <w:rPr>
          <w:i/>
        </w:rPr>
        <w:t xml:space="preserve"> ngày 25/6/2013 của Chính phủ qui định chức năng, nhiệm vụ, quyền hạn và cơ cấutổ chức của Bộ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w:t>
      </w:r>
      <w:hyperlink r:id="rId4" w:history="1">
        <w:r>
          <w:rPr>
            <w:rStyle w:val="Hyperlink"/>
            <w:i/>
          </w:rPr>
          <w:t xml:space="preserve">130/2013/NĐ-CP </w:t>
        </w:r>
      </w:hyperlink>
      <w:r>
        <w:rPr>
          <w:i/>
        </w:rPr>
        <w:t xml:space="preserve"> ngày 16/10/2013 của Chính phủ về sản xuất và cung ứng sản phẩm, dịch vụ côngích.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Căn cứ Nghị định số </w:t>
      </w:r>
      <w:hyperlink r:id="rId5" w:history="1">
        <w:r>
          <w:rPr>
            <w:rStyle w:val="Hyperlink"/>
            <w:i/>
          </w:rPr>
          <w:t xml:space="preserve">59/2007/NĐ-CP </w:t>
        </w:r>
      </w:hyperlink>
      <w:r>
        <w:rPr>
          <w:i/>
        </w:rPr>
        <w:t xml:space="preserve"> ngày 09/4/2007 của Chính phủ về quản lý chất thải rắn.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Theo đề nghị của Vụ trưởng Vụ Kinhtế xây dựng và Viện trưởng Viện Kinh tế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QUYẾT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Điều 1. </w:t>
      </w:r>
      <w:r>
        <w:t xml:space="preserve">Công bố định mức dự toán Thu gom,vận chuyển và xử lý chất thải rắn đô thị kèm theo Quyết định này để các tổchức, cá nhân có liên quan tham khảo, sử dụng vào việc xác định chi phí thugom, vận chuyển và xử lý chất thải rắn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Điều 2. </w:t>
      </w:r>
      <w:r>
        <w:t xml:space="preserve">Quyết định này có hiệu lực kể từngày 01/6/2014.</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i/>
              </w:rPr>
              <w:br/>
            </w:r>
            <w:r>
              <w:rPr>
                <w:b/>
                <w:i/>
              </w:rPr>
              <w:t xml:space="preserve">Nơi nhận:</w:t>
            </w:r>
            <w:r>
              <w:t xml:space="preserve">- Văn phòng Quốc hội</w:t>
            </w:r>
            <w:r>
              <w:rPr/>
              <w:br/>
            </w:r>
            <w:r>
              <w:t xml:space="preserve">- Hội đồng dân tộc và các Ủy ban của Quốc hội;</w:t>
            </w:r>
            <w:r>
              <w:rPr/>
              <w:br/>
            </w:r>
            <w:r>
              <w:t xml:space="preserve">- Văn phòng Chủ tịch nước;</w:t>
            </w:r>
            <w:r>
              <w:rPr/>
              <w:br/>
            </w:r>
            <w:r>
              <w:t xml:space="preserve">- Cơ quan TW của các đoàn thể;</w:t>
            </w:r>
            <w:r>
              <w:rPr/>
              <w:br/>
            </w:r>
            <w:r>
              <w:t xml:space="preserve">- Toà án Nhân dân tối cao;</w:t>
            </w:r>
            <w:r>
              <w:rPr/>
              <w:br/>
            </w:r>
            <w:r>
              <w:t xml:space="preserve">- Viện Kiểm sát nhân dân tối cao;</w:t>
            </w:r>
            <w:r>
              <w:rPr/>
              <w:br/>
            </w:r>
            <w:r>
              <w:t xml:space="preserve">- Văn phòng Chính phủ;</w:t>
            </w:r>
            <w:r>
              <w:rPr/>
              <w:br/>
            </w:r>
            <w:r>
              <w:t xml:space="preserve">- Các Bộ, cơ quan ngang Bộ, cơ quan trực thuộc CP;</w:t>
            </w:r>
            <w:r>
              <w:rPr/>
              <w:br/>
            </w:r>
            <w:r>
              <w:t xml:space="preserve">- Các Sở XD, các Sở TN&amp;MTcủa các Tỉnh, TP trực thuộc TW;</w:t>
            </w:r>
            <w:r>
              <w:rPr/>
              <w:br/>
            </w:r>
            <w:r>
              <w:t xml:space="preserve">- Các Cục, Vụ thuộc Bộ XD;</w:t>
            </w:r>
            <w:r>
              <w:rPr/>
              <w:br/>
            </w:r>
            <w:r>
              <w:t xml:space="preserve">- Website của Bộ Xây dựng</w:t>
            </w:r>
            <w:r>
              <w:rPr/>
              <w:br/>
            </w:r>
            <w:r>
              <w:t xml:space="preserve">- Lưu VP, Vụ PC, Vụ KTXD, Viện KTXD, Kh250.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KT. BỘ TRƯỞNG</w:t>
            </w:r>
            <w:r>
              <w:rPr>
                <w:b/>
              </w:rPr>
              <w:br/>
            </w:r>
            <w:r>
              <w:rPr>
                <w:b/>
              </w:rPr>
              <w:t xml:space="preserve">THỨ TRƯỞNG</w:t>
            </w:r>
            <w:r>
              <w:rPr>
                <w:b/>
              </w:rPr>
              <w:br/>
            </w:r>
            <w:r>
              <w:rPr>
                <w:b/>
              </w:rPr>
              <w:t xml:space="preserve"> </w:t>
            </w:r>
            <w:r>
              <w:rPr>
                <w:b/>
              </w:rPr>
              <w:br/>
            </w:r>
            <w:r>
              <w:rPr>
                <w:b/>
              </w:rPr>
              <w:t xml:space="preserve"> </w:t>
            </w:r>
            <w:r>
              <w:rPr>
                <w:b/>
              </w:rPr>
              <w:br/>
            </w:r>
            <w:r>
              <w:rPr>
                <w:b/>
              </w:rPr>
              <w:t xml:space="preserve"> </w:t>
            </w:r>
            <w:r>
              <w:rPr>
                <w:b/>
              </w:rPr>
              <w:br/>
            </w:r>
            <w:r>
              <w:rPr>
                <w:b/>
              </w:rPr>
              <w:t xml:space="preserve"> </w:t>
            </w:r>
            <w:r>
              <w:rPr>
                <w:b/>
              </w:rPr>
              <w:br/>
            </w:r>
            <w:r>
              <w:rPr>
                <w:b/>
              </w:rPr>
              <w:t xml:space="preserve">Bùi Phạm Khánh</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Phần 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THUYẾT MINH ĐỊNH MỨCTHU GOM, VẬN CHUYỂN VÀ XỬ LÝ CHẤT THẢI RẮN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1. Nội dung định mức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Định mức dự toán công tác thu gom,vận chuyển và xử lý chất thải rắn đô thị công bố tại văn bản này bao gồm cáchao phí cần thiết về vật liệu, nhân công và một số phương tiện máy móc thiết bịđể hoàn thành một đơn vị khối lượng công tác thu gom, vận chuyển và xử lý chấtthải rắn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Phạm vi các công tác thu gom, vậnchuyển và xử lý chất thải rắn đô thị được định mức bao gồm các công việc liênquan đến quá trình thu gom, vận chuyển và xử lý chất thải rắn đô thị để đảm bảoviệc duy trì vệ sinh môi trường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2. Các căn cứ xác lập định mức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Quy trình kỹ thuật thực hiện côngtác thu gom, vận chuyển và xử lý chất thải rắn đô thị hiện đang áp dụng phổbiến ở các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Nghị định số </w:t>
      </w:r>
      <w:hyperlink r:id="rId6" w:history="1">
        <w:r>
          <w:rPr>
            <w:rStyle w:val="Hyperlink"/>
          </w:rPr>
          <w:t xml:space="preserve">42/2009/NĐ-CP </w:t>
        </w:r>
      </w:hyperlink>
      <w:r>
        <w:t xml:space="preserve"> ngày7/5/2009 của Chính phủ về việc phân loại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Số liệu về tình hình sử dụng laođộng, trang thiết bị xe máy, kỹ thuật cũng như kết quả ứng dụng tiến bộ khoahọc kỹ thuật vào thực tiễn công tác thu gom, vận chuyển và xử lý chất thải rắnđô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3. Kết cấu của tập định mức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Định mức được trình bày theo nhóm,loại công tác thu gom, vận chuyển và xử lý chất thải rắn đô thị. Mỗi định mức đượctrình bày gồm: thành phần công việc, điều kiện áp dụng các trị số mức và đượcxác định theo đơn vị tính phù hợp để thực hiện công việc đó.</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Định mức dự toán công tác thu gom,vận chuyển và xử lý chất thải rắn đô thị gồm 06 chương:</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w:t>
            </w:r>
            <w:r>
              <w:t xml:space="preserve">Chương 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Công tác quét, gom rác trên hè, đường phố bằng thủ</w:t>
            </w:r>
            <w:r>
              <w:t xml:space="preserve">công.</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w:t>
            </w:r>
            <w:r>
              <w:t xml:space="preserve">Chương II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Công tác thu gom, vận chuyển chất thải rắn sinh hoạt, phế thải xây dựng và chất thải rắn y tế bằng cơ giới.</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w:t>
            </w:r>
            <w:r>
              <w:t xml:space="preserve">Chương III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Công tác xử lý chất thải rắn sinh hoạt và phế thải xây dựng.</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w:t>
            </w:r>
            <w:r>
              <w:t xml:space="preserve">Chương IV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Công tác xử lý chất thải rắn y tế.</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w:t>
            </w:r>
            <w:r>
              <w:t xml:space="preserve">Chương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Công tác quét rác đường phố và tưới nước rửa đường bằng cơ giới.</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4. Hướng dẫn áp dụng định mức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Định mức dự toán công tác thu gom,vận chuyển và xử lý chất thải rắn đô thị do Bộ Xây dựng công bố để các tổ chức,cá nhân có liên quan tham khảo, sử dụng vào việc lập và quản lý chi phí thugom, vận chuyển và xử lý chất thải rắn đô thị.</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Hao phí vật liệu, công cụ lao độngkhác (như chổi, xẻng, cán xẻng, thùng chứa, găng tay, cuốc,…) trực tiếp sử dụngcho quá trình thực hiện công việc không có trong định mức theo công bố. Các haophí này được xác định trong chi phí quản lý chung của dự toán chi phí thực hiệncông tác thu gom, vận chuyển và xử lý chất thải rắn đô thị theo hướng dẫn củaBộ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Trường hợp công tác thu gom, vậnchuyển và xử lý chất thải rắn đô thị có yêu cầu kỹ thuật và điều kiện thực hiệnkhác với quy định trong tập định mức này hoặc những loại công tác thu gom, vậnchuyển và xử lý chất thải rắn </w:t>
      </w:r>
      <w:r>
        <w:rPr>
          <w:vertAlign w:val="superscript"/>
        </w:rPr>
        <w:t xml:space="preserve">đô thị chưa được công bố định mức thì Sở Xâydựng các tỉnh, thành phố trực </w:t>
      </w:r>
      <w:r>
        <w:t xml:space="preserve">thuộc trung ương chủ trì phối hợp với cácSở, Ban, Ngành liên quan tiến hành điều chỉnh định mức hoặc xây dựng định mứcmới để trình UBND tỉnh, thành phố trực thuộc trung ương quy định áp dụng, đồngthời báo cáo Bộ Xây dựng để theo dõi quản lý.</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Phần II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 DỰ TOÁN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Chương 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CÔNG TÁC QUÉT, GOM RÁCTRÊN HÈ, ĐƯỜNG PHỐ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MT1.01.00 Công tác duy trì vệ sinh đườngphố ban ngày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Di chuyển công cụ thu rác dọctuyến đường, nhặt hết các loại rác, các loại phế thải trên hè phố, xúc hết ráctrên đường phố trong phạm vi đường được phân công trong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Di chuyển công cụ thu gom rác đếnđiểm tập kết rác và chuyển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Dọn sạch rác tại các điểm tập kếtrác sau khi chuyển rác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Vệ sinh, tập trung dụng cụ, phươngtiện về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Bảng số 1:</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1km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MT1.01.00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duy trì vệ sinh đường phố ban ngày bằng thủ 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1 áp dụng chocác tuyến phố có yêu cầu duy trì vệ sinh đường phố ban ngày bằng thủ công vớiqui định thực hiện 2 bên lề.</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1 qui địnhhao phí nhân công công tác gom rác đường phố ban ngày bằng thủ công của đô thịloại Đặc biệt. Đối với các đô thị khác, định mức được điều chỉnh theo các hệ sốsau: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loại đô thị loại III </w:t>
            </w:r>
            <w:r>
              <w:t xml:space="preserve">¸</w:t>
            </w:r>
            <w:r>
              <w:t xml:space="preserve">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0,9</w:t>
            </w:r>
            <w:r>
              <w:t xml:space="preserve">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w:t>
            </w:r>
            <w:r>
              <w:t xml:space="preserve">80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1 không áp dụngđối với các tuyến phố có yêu cầu duy trì vệ sinh riêng (các tuyến phố cổ, tuyếnphố văn minh thương mại, các tuyến phố thực hiện "điểm" về đảm bảo vệsinh môi trường).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MT1.02.00 Công tác quét, gom rác đườngphố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công cụ thu chứa đến nơilàm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Quét rác trên đường phố, vỉa hè,gom thành từng đống nhỏ.</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Quét nước ứ đọng trên đường (nếucó).</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gom rác đống trên đường phố,vỉa hè.</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Hót xúc rác, cát bụi vào công cụthu chứa.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công cụ thu chứa về điểmtập kết rác để chuyển sang xe chuyên dụng.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Dọn sạch các điểm tập kết rác saukhi chuyển rác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dụng cụ, công cụ tập kếtvề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2:</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10.000m2</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Quét đường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Quét hè</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MT1.02.00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quét, gom rác đường phố bằng thủ 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Thời gian làm việc từ 18h00 hôm trướcvà kết thúc vào 6h00 sáng hôm sau.</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2 áp dụng chocông tác quét, gom rác đường phố bằng thủ công với qui trình nghiệm thu khối lượngdiện tích quét, gom rác trên vỉa hè (đối với quét hè) và 2m lòng đường mỗi bênđường kể từ mép ngoài của rãnh thoát nước (đối với quét đường).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 Bảng số 2 qui định haophí nhân công công tác quét, gom rác đường phố bằng thủ công của đô thị loạiĐặc biệt. Đối với các đô thị khác, định mức được điều chỉnh theo các hệ số 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loại đô thị loại III </w:t>
            </w:r>
            <w:r>
              <w:t xml:space="preserve">¸</w:t>
            </w:r>
            <w:r>
              <w:t xml:space="preserve">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0,9</w:t>
            </w:r>
            <w:r>
              <w:t xml:space="preserve">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w:t>
            </w:r>
            <w:r>
              <w:t xml:space="preserve">80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MT1.03.00 Công tác duy trì dải phâncách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dụng cụ thu chứa đến nơilàm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Đặt biển báo cảnh giới an toàngiao thông.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Dùng chổi quét sạch đường sát dảiphân cách có chiều rộng là 1,5m.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Vun gọn thành đống, xúc lên xegom. Đối với dải phân cách mềm: luồn chổi qua kẽ các thanh chắn quét sạch cảphần đường đặt dải phân cách.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Đẩy công cụ thu rác về điểm tậpkết rác để chuyển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Dọn sạch các điểm tập kết sau khichuyển rác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dụng cụ, công cụ tập kếtvề nơi quy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3:</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1km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MT1.03.00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duy trì dải phân cách bằng thủ 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0,8</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3 áp dụng chocông tác duy trì dải phân cách tại các đô thị có yêu cầu duy trì dải phân cáchtrên đường phố (dải phân cách cứng, dải phân cách mềm).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3 qui địnhhao phí nhân công công tác duy trì dải phân cách của đô thị loại Đặc biệt. Đốivới các đô thị khác, định mức được điều chỉnh theo các hệ số 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loại đô thị loại III </w:t>
            </w:r>
            <w:r>
              <w:t xml:space="preserve">¸</w:t>
            </w:r>
            <w:r>
              <w:t xml:space="preserve">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0,9</w:t>
            </w:r>
            <w:r>
              <w:t xml:space="preserve">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w:t>
            </w:r>
            <w:r>
              <w:t xml:space="preserve">80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MT1.04.00 Công tác tua vỉa hè, thudọn phế thải ở gốc cây, cột điện, miệng cống hàm ếch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Dùng xẻng, chổi tua sạch thành vỉavà vỉa. Dùng chổi gom rác ở miệng hàm ếch và dùng xẻng gom, xúc rác ở miệng hàmếch.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Dọn sạch rác, phế thải ở gốc cây,cột điện (khối lượng phế thải &lt; 0,5m3)="" (nếu="" có);="" bấm="" nhổ="" cỏ="" xung="" quanh="" (nếucó);="" phát="" cây="" 2="" bên="" vỉa="" hè="" (nếu="" có),="" xúc="" rác="" lên="" phương="" tiện=""&gt;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công cụ thu rác về điểmtập kết để chuyển rác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Tuyên truyền, vận động nhân dângiữ gìn vệ sinh.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dụng cụ, công cụ tập kếtvề nơi quy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4:</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1km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MT1.04.00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tua vỉa hè, thu dọn phế thải ở gốc cây, cột điện, miệng cống hàm ếch</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0,8</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4 qui địnhhao phí nhân công công tác tua vỉa hè, thu dọn phế thải ở gốc cây, cột điện,miệng cống hàm ếch của đô thị loại Đặc biệt. Đối với các đô thị khác, định mứcđược điều chỉnh theo các hệ số 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loại đô thị loại III </w:t>
            </w:r>
            <w:r>
              <w:t xml:space="preserve">¸</w:t>
            </w:r>
            <w:r>
              <w:t xml:space="preserve">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0,9</w:t>
            </w:r>
            <w:r>
              <w:t xml:space="preserve">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w:t>
            </w:r>
            <w:r>
              <w:t xml:space="preserve">80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MT1.05.00 Công tác duy trì vệ sinhngõ xóm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công cụ thu chứa dọcngõ, gõ kẻng và thu rác nhà dân.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nhặt các túi rác hai bên ngõ,đứng đợi người dân bỏ túi rác lên xe gom.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Dùng chổi, xẻng xúc dọn các mô rácdọc ngõ xóm (nếu có) lên công cụ thu chứa và di chuyển về vị trí tập kết quiđịnh.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Đối với những ngõ rộng, có vỉa hè,rãnh thoát nước, dùng chổi, xẻng tua vỉa, rãnh và xúc lên công cụ thu chứa;dùng chổi quét, gom rác trên hè, trên ngõ.</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công cụ thu rác về điểmtập kết để chuyển rác sang xe chuyên dùng.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Tuyên truyền, vận động nhân dângiữ gìn vệ sinh.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dụng cụ, công cụ tập kếtvề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5:</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1km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MT1.05.00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duy trì vệ sinh ngõ xóm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5 áp dụng chocông tác duy trì vệ sinh ngõ xóm có chiều rộng ≥ 1,5m.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mức tại Bảng số 5 qui địnhhao phí nhân công công tác quét, gom rác đường phố bằng thủ công của đô thịloại Đặc biệt. Đối với các đô thị khác, định mức được điều chỉnh theo các hệ sốsau: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loại đô thị loại III </w:t>
            </w:r>
            <w:r>
              <w:t xml:space="preserve">¸</w:t>
            </w:r>
            <w:r>
              <w:t xml:space="preserve">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0,9</w:t>
            </w:r>
            <w:r>
              <w:t xml:space="preserve">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w:t>
            </w:r>
            <w:r>
              <w:t xml:space="preserve">80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MT1.06.00 Công tác xúc rác sinh hoạttại điểm tập kết rác tập trung lên xe ôtô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Cào rác từ bể chứa rác hoặc đốngrác, xúc lên công cụ thu chứa di chuyển ra điểm tập kết rác lên ôtô, quét dọnxung quanh bể rác và đống rác, phủ bạt kín trước khi xe chạy.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Cuối ca vệ sinh dụng cụ, phươngtiện xúc rác, cất vào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dụng cụ, công cụ tập kếtvề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6:</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 sinh hoạt</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MT1.06.00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xúc rác sinh hoạt tại điểm tập kết rác tập trung lên xe ôtô bằng thủ 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0,70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MT1.07.00 Công tác xúc dọn phế thảixây dựng bằng thủ công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Cào, cuốc làm tơi phế thải xâydựng và tiến hành xúc phế thải xây dựng lên xe ôtô, san gạt đất đều trên thùngxe, phủ bạt kín trước khi xe chạy.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sạch sẽ tại vị trí đã đượcthu dọn phế thải.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Cuối ca vệ sinh dụng cụ, công cụtập kết về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7:</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phế thải xây dựng</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MT1.07.00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xúc dọn phế thải xây dựng bằng thủ 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0,45</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Chương II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CÔNG TÁC THU GOM, VẬNCHUYỂN CHẤT THẢI RẮN SINH HOẠT, PHẾ THẢI XÂY DỰNG VÀ CHẤT THẢI RẮN Y TẾ BẰNG CƠGIỚI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MT2.01.00 Công tác thu gom rác sinhhoạt từ các xe thô sơ (xe đẩy tay) tại các điểm tập kết lên xe ép rác, vậnchuyển đến địa điểm đổ rác với cự ly bình quân 20 km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Chuẩn bị phương tiện, dụng cụ laođộng và trang 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Di chuyển phương tiện đến điểm tậpkết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Nạp rác từ công cụ thu chứa rácvào máng hứng, ép vào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Vận hành hệ thống chuyên dùng éprác.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Thu gom, quét dọn rác rơi vãi vàxúc lên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Điều khiển xe đến địa điểm tập kếtrác kế tiếp, tác nghiệp đến lúc rác đầy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Điều khiển xe về đến bãi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Cho xe vào cân xác định tổng trọngtải xe, điều khiển xe lên đổ vào ô chôn lấp, vận hành hệ thống chuyên dùng đểđổ rác theo đúng qui định trong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Điều khiển xe qua hệ thống rửa xeđể đảm bảo vệ sinh xe trước khi ra khỏi bãi, điều khiển xe qua cân để xác địnhtải trọng xe (xác định khối lượng rác vận chuyển).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Di chuyển xe về bãi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Bảng số 8:</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w:t>
            </w:r>
            <w:r>
              <w:rPr>
                <w:b/>
              </w:rPr>
              <w:t xml:space="preserve">£</w:t>
            </w:r>
            <w:r>
              <w:rPr>
                <w:b/>
              </w:rPr>
              <w:t xml:space="preserve"> 5</w:t>
            </w:r>
            <w:r>
              <w:rPr>
                <w:b/>
              </w:rPr>
              <w:t xml:space="preserve"> tấn</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5 tấn &lt;&gt;</w:t>
            </w:r>
            <w:r>
              <w:rPr>
                <w:b/>
              </w:rPr>
              <w:t xml:space="preserve"> 10 tấn</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w:t>
            </w:r>
            <w:r>
              <w:t xml:space="preserve">³</w:t>
            </w:r>
            <w:r>
              <w:rPr>
                <w:b/>
              </w:rPr>
              <w:t xml:space="preserve">10</w:t>
            </w:r>
            <w:r>
              <w:rPr>
                <w:b/>
              </w:rPr>
              <w:t xml:space="preserve"> tấn</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MT2.01.00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thu gom rác sinh hoạt từ các xe thô sơ (xe đẩy tay) tại các điểm tập kết rác lên xe ép rác, vận chuyển đến địa điểm đổ rác với cự ly bình quân 20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0,168</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0,131</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0,093</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ép rác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0,0840</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0,0653</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0,0466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03</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 </w:t>
      </w:r>
      <w:r>
        <w:t xml:space="preserve">Khi cự ly thu gom và vận chuyển bìnhquân thay đổi thì định mức hao phí nhân công và hao phí máy thi công tại Bảngsố 8 được điều chỉnh với các hệ số sau:</w:t>
      </w:r>
    </w:p>
    <w:tbl>
      <w:tblPr>
        <w:tblStyle w:val="TableNorm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Cự ly L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Hệ số</w:t>
            </w:r>
          </w:p>
        </w:tc>
      </w:tr>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 ≤ 15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60 &lt; l="" ≤=""&gt;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0,95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1,66</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MT2.02.00 Công tác thu gom rác sinhhoạt từ thùng rác vận chuyển đến địa điểm đổ rác với cự ly bình quân 20 km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trang 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điểm thugom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Kéo thùng trên vỉa hè hoặc từ điểmtập kết thùng tại cơ sở y tế, nạp rác từ thùng vào máng hứng, ép vào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Vận hành hệ thống chuyên dùng éprác.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gom, quét dọn rác rơi vãi vàxúc lên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đến địa điểm tập kếtrác kế tiếp, tác nghiệp đến lúc rác đầy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về đến bãi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Cho xe vào cân xác định tổng trọngtải xe, điều khiển xe lên đổ vào ô chôn lấp, vận hành hệ thống chuyên dùng đểđổ rác theo đúng qui định trong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qua hệ thống rửa xeđể đảm bảo vệ sinh xe trước khi ra khỏi bãi, điều khiển xe qua cân để xác địnhtải trọng xe (xác định khối lượng rác vận chuyển).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xe về bãi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9:</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 5</w:t>
            </w:r>
            <w:r>
              <w:rPr>
                <w:b/>
              </w:rPr>
              <w:t xml:space="preserve">tấn</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5 tấn &lt; xe=""&gt;&lt;&gt;</w:t>
            </w:r>
            <w:r>
              <w:rPr>
                <w:b/>
                <w:vertAlign w:val="superscript"/>
              </w:rPr>
              <w:t xml:space="preserve">tấn</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w:t>
            </w:r>
            <w:r>
              <w:rPr>
                <w:b/>
              </w:rPr>
              <w:t xml:space="preserve">³</w:t>
            </w:r>
            <w:r>
              <w:rPr>
                <w:b/>
              </w:rPr>
              <w:t xml:space="preserve">10</w:t>
            </w:r>
            <w:r>
              <w:rPr>
                <w:b/>
              </w:rPr>
              <w:t xml:space="preserve">tấn</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MT2.02.00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thu gom rác sinh hoạt từ thùng rác bên đường và tại các cơ sở y tế, vận chuyển đến </w:t>
            </w:r>
            <w:r>
              <w:rPr>
                <w:vertAlign w:val="superscript"/>
              </w:rPr>
              <w:t xml:space="preserve">địa điểm đổ </w:t>
            </w:r>
            <w:r>
              <w:t xml:space="preserve">rác với cự ly bình quân 20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tư, vật liệu: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Thùng rác nhựa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cái</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0,0044</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0,0044</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0,044</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0,278</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0,198</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0,188</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ép rác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0,1748</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0,1309</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0,098</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03</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 </w:t>
      </w:r>
      <w:r>
        <w:t xml:space="preserve">Khi cự ly thu gom và vận chuyển bìnhquân thay đổi thì định mức hao phí nhân công và hao phí máy thi công tại Bảngsố 9 được điều chỉnh với các hệ số sau:</w:t>
      </w:r>
    </w:p>
    <w:tbl>
      <w:tblPr>
        <w:tblStyle w:val="TableNorm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Cự ly L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Hệ số</w:t>
            </w:r>
          </w:p>
        </w:tc>
      </w:tr>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 ≤ 15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60 &lt; l="" ≤=""&gt;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0,95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1,66</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MT2.03.00 Công tác vận chuyển rácsinh hoạt bằng xe ép rác kín (hooklip) với cự ly thu gom và vận chuyển bìnhquân 20 km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trang 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điểmthu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giaothông 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Khi rác được xúc đầy lên xe, vungọn rác trên xe, phủ bạt kín trước khi chạy.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gom, quét dọn rác rơi vãi lênxe.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về bãi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Cho xe vào cân xác định tổng trọngtải xe, điều khiển xe lên đổ vào ô chôn lấp, vận hành đổ rác theo đúng qui địnhtrong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qua hệ thống rửa xeđể đảm bảo vệ sinh xe trước khi ra khỏi bãi, điều khiển xe qua cân để xác địnhtải trọng xe (xác định khối lượng rác vận chuyển).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xe về bãi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10:</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&lt; 10=""&gt;</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 10 tấn</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MT2.03.00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vận chuyển rác sinh hoạt bằng xe ép rác kín (hooklip) với cự ly thu gom và vận chuyển bình quân 20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0,056</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ép rác kín (xe hooklip)</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0,056</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 </w:t>
      </w:r>
      <w:r>
        <w:t xml:space="preserve">Khi cự ly vận chuyển bình quân thayđổi thì định mức hao phí nhân công và hao phí máy thi công tại Bảng số 10 đượcđiều chỉnh với các hệ số sau:</w:t>
      </w:r>
    </w:p>
    <w:tbl>
      <w:tblPr>
        <w:tblStyle w:val="TableNorm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Cự ly L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Hệ số</w:t>
            </w:r>
          </w:p>
        </w:tc>
      </w:tr>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 ≤ 15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60 &lt; l="" ≤=""&gt;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0,95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1,66</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MT2.04.00 Công tác vệ sinh thùng thugom rác sinh hoạt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điểmđặt thùng.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Xếp thùng ngay ngắn, đúng vị tríđặt thùng.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Dùng giẻ lau, bàn chải cước, xàphòng cọ rửa thùng.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Lau khô bên ngoài thùng, xịt thuốckhử mùi bên trong thùng.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Tiếp tục công việc cho đến hết calàm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11:</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100 thùng</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MT2.04.00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vệ sinh thùng thu gom rác sinh hoạt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3,5/7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1,90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MT2.05.00 Công tác thu gom, vậnchuyển rác y tế, bệnh phẩm của các cơ sở y tế về khu xử lý với cự ly bình quân65 km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điểmthu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Kéo thùng nhựa từ kho chứa rác ytế, rác bệnh phẩm của các bệnh viện, cơ sở y tế ra ngoài để cân, xác định khốilượng và chuyển lên xe. Chuyển các thùng sạch từ xe vào vị trí cũ.</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Đối với thùng chứa rác y tế, bệnhphẩm bằng carton: dựng, dán thùng; mở thùng rác y tế, bệnh phẩm cho vào thùngcarton. Dán thùng carton đưa lên bàn cân xác định khối lượng chuyển lên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gom đến khi hết rác y tế, bệnhphẩm.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đến địa điểm thu gomkế tiếp, tác nghiệp đến lúc đầy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về khu xử lý, bốcxuống, giao cho nhân viên kho. Ghi sổ số lượng, khối lượng.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Tiếp tục công việc cho đến hết calàm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12:</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 y tế, bệnh phẩm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Thùng</w:t>
            </w:r>
            <w:r>
              <w:rPr>
                <w:b/>
              </w:rPr>
              <w:t xml:space="preserve"> nhựa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Thùng</w:t>
            </w:r>
            <w:r>
              <w:rPr>
                <w:b/>
              </w:rPr>
              <w:t xml:space="preserve"> carton</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MT2.05.00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thu gom, vận chuyển rác y tế, bệnh phẩm của các cơ sở y tế về khu xử lý</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3,26</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3,91</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vertAlign w:val="superscript"/>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tải thùng kín - tải trọng 1,5T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1,63</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1,95</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 </w:t>
      </w:r>
      <w:r>
        <w:t xml:space="preserve">Khi cự ly thu gom và vận chuyển bìnhquân thay đổi thì định mức hao phí nhân công và hao phí máy thi công tại Bảngsố 12 được điều chỉnh với các hệ số 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Cự ly L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Hệ số</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L ≤ 40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40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50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60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70 &lt; l="" ≤=""&gt;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0,65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0,80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0,95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1,05</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MT2.06.00 Công tác thu gom, vậnchuyển phế thải xây dựng tại các điểm tập kết bằng xe tải về bãi đổ với cự lybình quân 10 km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điểmthu gom phế thải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Cảnh giới, đảm bảo an toàn giao thôngtrong khi tác nghiệp.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Xúc phế thải xây dựng lên thùngxe.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gom, quét dọn rác rơi vãi lênxe.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đến địa điểm thu gomkế tiếp, tác nghiệp đến lúc đầy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San, cào phế thải xây dựng, phủbạt, buộc dây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về bãi đổ.</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Cho xe vào cân xác định tổng trọngtải xe, điều khiển xe lên đổ vào ô chôn lấp, vận hành đổ rác theo đúng qui địnhtrong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qua hệ thống rửa xeđể đảm bảo vệ sinh xe trước khi ra khỏi bãi, điều khiển xe qua cân để xác địnhtải trọng xe (xác định khối lượng rác vận chuyển).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xe về bãi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13:</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phế thải xây dựng</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1,2 tấn</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2 tấn</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4 tấn</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MT2.06.00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thu gom, vận chuyển phế thải xây dựng tại các điểm tập kết bằng xe tải về bãi đổ với cự ly bình quân 10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0,596</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0,596</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0,596</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Ô tô tự đổ</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0,247</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0,149</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0,114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03</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 </w:t>
      </w:r>
      <w:r>
        <w:t xml:space="preserve">Khi cự ly thu gom và vận chuyển bìnhquân thay đổi thì định mức hao</w:t>
      </w:r>
      <w:r>
        <w:t xml:space="preserve">phí nhân côngvà hao phí máy thi công tại Bảng số 13 được điều chỉnh với các</w:t>
      </w:r>
      <w:r>
        <w:t xml:space="preserve">hệ số sau:</w:t>
      </w:r>
    </w:p>
    <w:tbl>
      <w:tblPr>
        <w:tblStyle w:val="TableNorm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Cự ly L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Hệ số</w:t>
            </w:r>
          </w:p>
        </w:tc>
      </w:tr>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L ≤ 10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20 &lt; l="" ≤=""&gt;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1,18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1,40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1,60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MT2.07.00 Công tác xúc rác sinh hoạttại các điểm tập kết rác tập trung bằng cơ giới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điểmxúc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Lái xe xúc điều khiển, vun gọn lượngrác vào điểm tập trung.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Xúc rác lên xe tải ben cho đến lúcđầy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gàu xúc vun gọn ráctrên xe tải ben.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Tiếp tục xúc rác cho các xe tảiben tiếp theo cho đến hết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tậptrung về nơi qui định, giao 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14:</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w:t>
            </w:r>
            <w:r>
              <w:rPr>
                <w:b/>
              </w:rPr>
              <w:t xml:space="preserve">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w:t>
            </w:r>
            <w:r>
              <w:rPr>
                <w:b/>
              </w:rPr>
              <w:t xml:space="preserve">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MT2.07.00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xúc rác sinh hoạt tại các điểm tập kết rác tập trung bằng cơ giới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xúc công suất 16T/giờ</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0,0089</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0,0089</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MT2.08.00 Công tác xúc phế thải xâydựng tại các điểm tập kết tập trung bằng cơ giới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điểmxúc phế thải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Lái xe xúc điều khiển, vun gọn phếthải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Xúc phế thải xây dựng lên xe tảiben cho đến lúc đầy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gàu xúc vun gọn ráctrên xe tải ben.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Tiếp tục xúc rác các xe tải bentiếp theo cho đến hết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tậptrung về nơi qui định, giao 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15:</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phế thải xây dựng</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w:t>
            </w:r>
            <w:r>
              <w:rPr>
                <w:b/>
              </w:rPr>
              <w:t xml:space="preserve">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b/>
              </w:rPr>
              <w:t xml:space="preserve">MT2.08.00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xúc phế thải xây dựng tại các điểm tập kết tập trung bằng cơ giới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xúc công suất 16T/giờ</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0,0071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0,0071</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MT2.09.00 Công tác vận chuyển phếthải xây dựng bằng xe tải với cự ly vận chuyển bình quân 20 km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trang 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điểmlấy phế thải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Khi phế thải được xúc đầy lên xe,vun gọn phế thải trên xe, phủ bạt kín trước khi chạy.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Thu gom, quét dọn phế thải rơi vãilên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về bãi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Cho xe vào cân xác định tổng trọngtải xe, điều khiển xe lên đổ vào ô chôn lấp, vận hành đổ rác theo đúng qui địnhtrong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Điều khiển xe qua hệ thống rửa xeđể đảm bảo vệ sinh xe trước khi ra khỏi bãi, điều khiển xe qua cân để xác địnhtải trọng xe (xác định khối lượng rác vận chuyển).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xe về bãi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16:</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phế thải xây dựng</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&lt; 10=""&gt;</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 10 tấn</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MT2.09.00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vận chuyển phế thải xây dựng bằng xe tải với cự ly vận chuyển bình quân 20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0,052</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0,034</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tải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0,052</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0,034</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 </w:t>
      </w:r>
      <w:r>
        <w:t xml:space="preserve">Khi cự ly vận chuyển bình quân thayđổi thì định mức hao phí nhân công và hao phí máy thi công tại Bảng số 16 đượcđiều chỉnh với các hệ số sau:</w:t>
      </w:r>
    </w:p>
    <w:tbl>
      <w:tblPr>
        <w:tblStyle w:val="TableNorm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Cự ly L (km)</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Hệ số</w:t>
            </w:r>
          </w:p>
        </w:tc>
      </w:tr>
      <w:tr>
        <w:trPr>
          <w:jc w:val="cente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 ≤ 15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35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45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50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55 &lt; l="" ≤=""&gt;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60 &lt; l="" ≤=""&gt;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0,95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1,11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1,38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1,45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1,57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1,66</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MT2.10.00 Công tác vớt rác trên mặtkênh, mương bằng cơ giới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Di chuyển phương tiện đến địa điểmvớt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Công nhân dùng vợt lưới đứng trêncầu phao vớt rác, dùng sào đẩy rác ra tầm thu của cánh thu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Gấp túi khi rác đầy, tra móc, điềuchỉnh lưới rác lên tàu, công việc được tiếp diễn.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Khi túi lên tầu được đưa đến vịtrí tiếp nhận, thực hiện các thao tác đưa rác vào phương tiện chứa.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Làm sạch túi lưới, các thao tác đượctiếp diễn đến hết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đưa phương tiện về bến đậuvệ sinh phương tiện, giao tầu ghe cho người trực.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17:</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10.000m2 (diện tích mặt nước)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w:t>
            </w:r>
            <w:r>
              <w:rPr>
                <w:b/>
              </w:rPr>
              <w:t xml:space="preserve">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w:t>
            </w:r>
            <w:r>
              <w:rPr>
                <w:b/>
              </w:rPr>
              <w:t xml:space="preserve">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24CV</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4CV</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MT2.10.00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vớt rác trên mặt kênh, mương bằng cơ giới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0,741</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2,500</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Xuồng vớt rác - công suất 24CV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0,185</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vertAlign w:val="superscript"/>
              </w:rPr>
              <w:t xml:space="preserve">- Xuồng vớt rác -</w:t>
            </w:r>
            <w:r>
              <w:t xml:space="preserve">công suất 4CV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0,833</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Chương III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CÔNG TÁC XỬ LÝ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MT3.01.00 Công tác vận hành bãi chônlấp rác thải sinh hoạt, công suất bãi ≤ 500 tấn/ngày.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Chuẩn bị dụng cụ lao động và trangbị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Tiếp nhận rác, hướng dẫn xe quacân điện tử, ghi chép số liệu và hướng dẫn chỗ đổ cho các xe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Đổ, cào rác từ trên xe xuống, đảmbảo khi xe khỏi khu vực đổ không còn rác trên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Hướng dẫn cho xe ra khỏi bãi đảmbảo không gây ùn tắc, xa lầy.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San ủi các đống rác thành bãiphẳng, đầm nén để ôtô có thể liên tiếp vào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Phun xịt chế phẩm vi sinh (EM),rải Bokashi để khử mùi hôi, xịt nước chống bụi.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Sau một lớp rác vừa san ủi lại phủmột lớp đất, tiến hành đầm nén trước khi đổ lớp rác khác lên.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Rắc vôi bột, hóa chất để diệt trừruồi, muỗi.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San ủi rác đến khi hết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Quét đường, rửa đường (ngoài bãirác) dẫn vào bãi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Quét dọn đảm bảo vệ sinh khu vựcbãi, khu vực cân điện tử, trạm rửa xe.</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Duy trì cây xanh khu vực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Cuối ca san lấp để tạo mặt bằng ởbãi, tạo độ dốc thoát nước, gia cố nền đường để xe vào bãi an toàn. Hết ca vệsinh phương tiện, tập trung về nơi qui định, giao 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Yêu cầu kỹ thuật: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Độ dày lớp rác sau khi đầm nén đểphủ đất là 2m.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Độ dày lớp đất phủ là 0,15m đến0,2m.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Bảng số 18:</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MT3.01.00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vận hành bãi chôn lấp và xử lý chất thải sinh hoạt, công </w:t>
            </w:r>
            <w:r>
              <w:rPr>
                <w:vertAlign w:val="superscript"/>
              </w:rPr>
              <w:t xml:space="preserve">suất bãi ≤ 500 </w:t>
            </w:r>
            <w:r>
              <w:t xml:space="preserve">tấn/ngày</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liệu: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Vôi bột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Đất phủ bãi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Hóa chất diệt ruồi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EM thứ cấp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Bokashi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ủi 170CV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bồn 6m3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bơm xăng 5CV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tấn</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lít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lít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vertAlign w:val="superscript"/>
              </w:rP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0,00026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0,210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0,00204</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0,400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0,246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0,060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MT3.02.00 Công tác vận hành bãi chônlấp rác thải sinh hoạt, công suất bãi từ 500 tấn/ngày đến 1.500 tấn/ngày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Ghi chép khối lượng và hướng dẫnchỗ đổ cho các xe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Cào rác từ trên xe xuống, đảm bảokhi xe khỏi khu vực đổ không còn rác. Kiểm tra cảm quang các loại rác không đượcphép chôn lấp.</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Hướng dẫn cho xe ra khỏi bãi đảmbảo không ùn tắc và xa lầy.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San ủi rác từ các đống thành bãiphẳng và đầm nén để ôtô có thể liên tiếp vào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Sau một lớp rác vừa đổ lại san ủimột lớp đất, tiến hành đầm nén trước khi đổ lớp rác khác lên.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Rắc vôi bột và một số hóa chất đểtrừ muỗi.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Phun xịt chế phẩm vi sinh (EM) khửmùi hôi, xịt nước chống bụi.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San ủi rác đến khi hết ca làmviệc.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Quét đường, rửa đường (ngoài bãirác) dẫn vào bãi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Cuối ca san lấp để tạo mặt bằng ởbãi, tạo độ dốc thoát nước, gia cố nền đường để xe vào bãi an toàn.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tậptrung về nơi qui định, giao 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Yêu cầu kỹ thuật: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Có hệ thống xử lý nước rác theo phươngpháp sinh học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Độ dày lớp rác sau khi đầm nén đểphủ đất là 2m.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19:</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MT3.02.00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 tác vận hành bãi chôn lấp và xử lý chất thải sinh hoạt, công suất bãi trên 500 tấn/ngày đến 1.500 tấn/ngày</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tư, vật liệu: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Vôi bột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Đất chôn lấp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Hóa chất diệt ruồi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EM thứ cấp</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Bokashi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ủi 170CV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bồn 6M3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Bơm xăng 5CV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Bơm điện 5KW</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tấn</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lít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lít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vertAlign w:val="superscript"/>
              </w:rP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0,00025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0,15000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0,00041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0,60000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0,24600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0,0005</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MT3.03.00 Công tác vận hành bãi chônlấp rác thải sinh hoạt hợp vệ sinh, công suất bãi từ 1.500 tấn/ngày đến 3.500tấn/ngày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laođộng và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Ghi chép khối lượng và hướng dẫn chỗđổ cho các xe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Đổ rác theo phương pháp đổ lấn vàchiều dày lớp rác là 2m, riêng lớp rác đầu tiên phải tạo đường dẫn xuống đáybãi. Bố trí cho xe ra vào bãi đảm bảo không ùn tắc và sa lầy.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Các xe ôtô vào đổ rác thành từngđống theo đúng vị trí do công nhân điều hành bãi hướng dẫn, được máy ủi xíchsan gạt và máy đềm chuyên dùng đầm từ 8-10 lần tạo thành các lớp rác chặt.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Sử dụng máy ủi san gạt bề mặt bãi,đảm bảo ôtô chở rác có thể đi lại dễ dàng trên bề mặt.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Sau khi tạo lớp rác đầy đúng tiêuchuẩn phải phủ đất lên trên mặt (đỉnh và taluy) toàn bộ diện tích rác đã đổ,đất phủ phải được san đều trên bề mặt rác và đầm nén kỹ trước khi đổ lớp ráckhác lên phía trên.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Kiểm tra san lấp các khu vực bịlún, lở trên toàn khu vực bãi; San gạt tạo mặt bằng mái, tạo độ dốc thoát nướcsửa chữa lại nền đường.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Xử lý rác bằng Enchoice và Bokashitheo qui trình kỹ thuật tiêu chuẩn.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Đảm bảo công tác duy trì thôngthoát khí ga đối với các ô bắt đầu và đang trong quá trình chôn lấp rác cũng nhưcác ô khi đóng bãi tạm thời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Bơm hút nước rác từ ô chôn lấp vềhồ sinh học.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Đắp bờ bao, làm đường công vụ vàođổ rác để đảm bảo cho xe vào đổ 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Xử lý hóa chất trên phạm vi toànbãi cũng như khu dân cư lân cận theo đúng qui định, rắc vôi bột tại các vị trínhằm hạn chế phát sinh ruồi muỗi.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Nhặt rác, làm vệ sinh đoạn đườngvào bãi xe ôtô, tưới nước chống bụi các khu vực bãi, đường dẫn vào bãi.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Vệ sinh các phương tiện, dụng cụ,rửa bánh xe trước khi ra khỏi bãi tập kết về địa điểm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Yêu cầu kỹ thuật: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Bãi chôn lấp có yêu cầu kỹ thuậtcao, có hệ thống xử lý nước của rác theo phương pháp sinh học.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Độ dày lớp rác sau khi đầm nén đểphủ đất là 2m.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20:</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MT3.03.00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vận hành bãi chôn lấp rác thải sinh hoạt hợp vệ sinh, công suất bãi từ 1.500 tấn/ngày đến 3.500 tấn/ngày.</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tư, vật liệu: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Vôi bột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Đất phủ bãi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Hóa chất diệt ruồi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Enchoice</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Bokashi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Đá dăm cấp phối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Đá 4x6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Bạt phủ</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Nước thô</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ống nhựa D100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ống cao su chịu áp lực D21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ủi 220CV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đầm 290 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đào</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lu 10T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bồn 10</w:t>
            </w: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ô tô 2T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ô tô tải 10T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Bơm điện 3 KW</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Bơm điện 22 KW</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lít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lít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md</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md</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vertAlign w:val="superscript"/>
              </w:rP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0,260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0,00206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0,2460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0,035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0,060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0,00016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0,070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0,00350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0,0008</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0,00125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0,00002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0,00036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0,00242</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0,00350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0,00150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MT3.04.00 Công tác xử lý phế thảixây dựng tại bãi chôn lấp với công suất bãi &lt; 500=""&gt;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công cụ laođộng và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Ghi chép khối lượng và hướng dẫnchỗ đổ cho các xe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Hướng dẫn cho xe ra vào bãi, đảmbảo không gây ùn tắc và xa lầy.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Xe ủi phế thải xây dựng thành đốngđể ôtô có thể liên tiếp vào đổ phế thải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Phun xịt nước chống bụi hàng ngày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San ủi rác thải xây dựng đến khihết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Quét đường, rửa đường dẫn vào bãirác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Cuối ca san lấp để tạo mặt bằng ởbãi, tạo độ dốc thoát nước, gia cố nền đường để xe vào bãi an toàn.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tậptrung về nơi qui định, giao 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21:</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w:t>
            </w:r>
            <w:r>
              <w:rPr>
                <w:b/>
              </w:rPr>
              <w:t xml:space="preserve">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MT3.04.00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xử lý phế thải xây dựng tại bãi chôn lấp với công suất bãi &lt; 500="" tấn/ngày=""&gt;</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3/7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ủi 140CV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bồn nước 16m3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0,0420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0,00190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MT3.05.00 Công tác xử lý phế thảixây dựng tại bãi chôn lấp với công suất bãi từ 500 tấn/ngày đến 1000 tấn/ngày.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công cụ laođộng và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Ghi chép khối lượng và hướng dẫnchỗ đổ cho các xe tập kết.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Hướng dẫn cho xe ra vào bãi, đảmbảo không gây ùn tắc và xa lầy.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Xe ủi phế thải xây dựng thành đốngđể ôtô có thể liên tiếp vào đổ phế thải xây dựng.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Phun xịt nước chống bụi hàng ngày</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San ủi rác thải xây dựng đến khihết ca làm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Quét đường, rửa đường dẫn vào bãirác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Cuối ca san lấp để tạo mặt bằng ởbãi, tạo độ dốc thoát nước, gia cố nền đường để xe vào bãi an toàn.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tậptrung về nơi qui định, giao 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22:</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w:t>
            </w:r>
            <w:r>
              <w:rPr>
                <w:b/>
              </w:rPr>
              <w:t xml:space="preserve">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w:t>
            </w:r>
            <w:r>
              <w:rPr>
                <w:b/>
              </w:rPr>
              <w:t xml:space="preserve">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MT3.05.00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xử lý phế thải xây dựng tại bãi chôn lấp với công suất bãi từ 500 tấn/ngày đến 1000 tấn/ngày .</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3/7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ủi 110CV</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Xe bồn nước 7m3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bơm xăng 3CV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0,0246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0,00366</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0,00154</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0,0005</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Chương IV</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CÔNG TÁC XỬ LÝ RÁC Y TẾ</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MT4.01.00 Công tác xử lý rác y tế, bệnhphẩm bằng lò gas</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 Đốt rác y tế, bệnh phẩm</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Kiểm tra các thiết bị an toàn củalò đốt, khởi động các hệ thống, thực hiện giai đoạn hâm nóng lò đốt.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Chuyển thùng nhựa hoặc thùngcarton chứa rác y tế, rác bệnh phẩm trong lò đến các vị trí nạp rác của lò đốt.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Rửa các thùng chứa rác bằng nhựavà đưa vào vị trí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Theo dõi, nạp hóa chất đầy đủ vàophễu để xử lý khói.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Sau mỗi đợt đốt, cào tro vào 2thùng tôn ở sau cửa lò. Tưới nước làm nguội tro, cho vào các túi nhựa, cột chặtvà đưa vào các xuồng có nắp đậy để lưu chứa. Tiếp tục đốt các đợt tiếp theo.</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Kết thúc ca làm việc, vệ sinh cácthiết bị của lò.</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 Chôn tro</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Vận chuyển tro đến bãi chôn lấptại nghĩa trang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Đào hố chôn; lót tấm nylon chốngthấm; rắc vôi bột bề mặt và lấp đất kín; đóng cọc mốc.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Vệ sinh cá nhân và phương tiện làmviệc.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Bảng số 23:</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 tấn rác y tế, rác bệnh phẩm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MT4.01.00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xử lý rác y tế, bệnh phẩm bằng lò gas.</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tư, vật liệu: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Gas</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Điện</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Bicarbonat (NaHCO</w:t>
            </w:r>
            <w:r>
              <w:rPr>
                <w:vertAlign w:val="subscript"/>
              </w:rPr>
              <w:t xml:space="preserve">3</w:t>
            </w:r>
            <w:r>
              <w:t xml:space="preserve">)</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Than hoạt tính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Bao nylon</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Bậc thợ bình quân 4/7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Lò đốt rác y tế bằng gas</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kw</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kg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bao</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202,0000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199,1000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124,9200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2,00000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2,85710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8,300</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0,1430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Chương V</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CÔNG TÁC QUÉT RÁC TRÊNĐƯỜNG PHỐ VÀ TƯỚI NƯỚC RỬA ĐƯỜNG BẰNG CƠ GIỚI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MT5.01.00 Công tác quét đường phốbằng cơ giới</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Chuẩn bị phương tiện, dụng cụ vàbảo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Xe ôtô quét hút theo đúng lịchtrình quy định, tới điểm quét đỗ cách mép vỉa 0,2m - 0,3m, bật đèn công tác,kiểm tra các thông số trước khi cho xe vận hành.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Đảm bảo tốc độ xe khi quét hút đạttừ 4km/h - 5km/h.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Khi rác đầy thì tiến hành đổ phếthải đúng nơi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Hết ca vệ sinh phương tiện, tậpkết về địa điểm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i/>
        </w:rPr>
        <w:t xml:space="preserve">Bảng số 24:</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1km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MT5.01.00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quét đường phố bằng cơ giới</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tư:</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Chổi xe quét hút</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Nước sạch</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Ôtô quét hút 5-7m</w:t>
            </w:r>
            <w:r>
              <w:rPr>
                <w:vertAlign w:val="superscript"/>
              </w:rPr>
              <w:t xml:space="preserve">3</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bộ</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0,004</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0,04</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Ghi chú:</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Định mức tại Bảng số 24 qui định haophí nhân công và máy thi công công tác quét đường phố bằng cơ giới của đô thịloại Đặc biệt. Đối với các đô thị khác, định mức nhân công và máy thi công đượcđiều chỉnh theo các hệ số sau:</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Đô thị loại II:</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Các loại đô thị loại III </w:t>
            </w:r>
            <w:r>
              <w:t xml:space="preserve">¸</w:t>
            </w:r>
            <w:r>
              <w:t xml:space="preserve"> V:</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0,9</w:t>
            </w:r>
            <w:r>
              <w:t xml:space="preserve">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0,85</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K = 0,</w:t>
            </w:r>
            <w:r>
              <w:t xml:space="preserve">80</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MT5.02.00 Công tác tưới nước rửa đường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 vàtrang thiết bị bảo hộ lao động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Xe lấy nước vào đúng vị trí quiđịnh, các van phải được khóa, vòi phun phải được thông và để ở vị trí cao.</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Để miệng téc đúng họng nước, khitéc đầy khoá van họng nước, đậy nắp téc, khoá chặt.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Xe ô tô đến điểm rửa đi với tốc độ6km/giờ, bép chếch 5</w:t>
      </w:r>
      <w:r>
        <w:rPr>
          <w:vertAlign w:val="superscript"/>
        </w:rPr>
        <w:t xml:space="preserve">o</w:t>
      </w:r>
      <w:r>
        <w:t xml:space="preserve">, áp lực phun nước 5kg/cm</w:t>
      </w:r>
      <w:r>
        <w:rPr>
          <w:vertAlign w:val="superscript"/>
        </w:rPr>
        <w:t xml:space="preserve">2</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Tiến hành phun tưới nước rửa đườngtheo đúng lộ trình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Sau khi xả hết téc nước xe về điểmlấy nước và lặp lại thao tác như trên.</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Sau khi hoàn thành công việc xoaybép lên phía trên để tránh vỡ khi gặp ổ gà.</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tậpkết về địa điểm qui định.</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25:</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1km</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gridCol w:w="60"/>
        <w:gridCol w:w="60"/>
      </w:tblGrid>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4"/>
            <w:h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c>
          <w:tcPr>
            <w:tcW w:w="0" w:type="auto"/>
            <w:gridSpan w:val="4"/>
            <w:hMerge/>
            <w:shd w:val="clear" w:color="auto" w:fill="auto"/>
            <w:vAlign w:val="center"/>
          </w:tcPr>
          <w:p>
            <w:pPr/>
          </w:p>
        </w:tc>
      </w:tr>
      <w:tr>
        <w:trPr/>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vMerge/>
            <w:shd w:val="clear" w:color="auto" w:fill="auto"/>
            <w:vAlign w:val="center"/>
          </w:tcPr>
          <w:p>
            <w:pP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&lt;&gt;</w:t>
            </w:r>
            <w:r>
              <w:rPr>
                <w:b/>
                <w:vertAlign w:val="superscript"/>
              </w:rPr>
              <w:t xml:space="preserve">3</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Xe ≥ 10m</w:t>
            </w:r>
            <w:r>
              <w:rPr>
                <w:b/>
                <w:vertAlign w:val="superscript"/>
              </w:rPr>
              <w:t xml:space="preserve">3</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MT5.02.00</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tưới nước rửa đường</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Vật liệu:</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Nước thô</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Ôtô tưới nước</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m</w:t>
            </w:r>
            <w:r>
              <w:rPr>
                <w:vertAlign w:val="superscript"/>
              </w:rPr>
              <w:t xml:space="preserve">3</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0,200</w:t>
            </w:r>
          </w:p>
        </w:tc>
        <w:tc>
          <w:tcPr>
            <w:tcW w:w="0" w:type="auto"/>
            <w:gridSpan w:val="4"/>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7</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0,156</w:t>
            </w:r>
          </w:p>
        </w:tc>
      </w:tr>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02</w:t>
            </w:r>
          </w:p>
        </w:tc>
      </w:tr>
    </w:tbl>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rPr>
        <w:t xml:space="preserve">MT5.03.00 Công tác vận hành hệ thốngbơm nước cung cấp nước rửa đường</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Thành phần công việc: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Chuẩn bị phương tiện, dụng cụ.</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Kiểm tra cầu dao, hệ thống đườngống, téc chứa nước, đồng hồ đo lưu lượng nước, máy bơm bảo đảm trạng thái hoạtđộng tốt.</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Đóng cầu dao điện bơm nước lêntéc.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Đóng mở van xả nước khi xe đến lấynước.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Định kì bảo dưỡng động cơ máy bơm,téc chứa nước, họng hút, đồng hồ đo lưu lượng nước.</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t xml:space="preserve">- Hết ca vệ sinh phương tiện, giaoca.</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b/>
          <w:i/>
        </w:rPr>
        <w:t xml:space="preserve">Bảng số 26:</w:t>
      </w:r>
    </w:p>
    <w:p>
      <w:pPr>
        <w:pStyle w:val="Normal(Web)"/>
        <w:divId w:val="1"/>
        <w:pBdr>
          <w:top w:val="none" w:sz="0" w:space="0" w:color="auto"/>
          <w:left w:val="none" w:sz="0" w:space="0" w:color="auto"/>
          <w:bottom w:val="none" w:sz="0" w:space="0" w:color="auto"/>
          <w:right w:val="none" w:sz="0" w:space="0" w:color="auto"/>
        </w:pBdr>
        <w:shd w:val="clear" w:color="auto" w:fill="auto"/>
        <w:spacing w:beforeAutospacing="1" w:afterAutospacing="1"/>
        <w:jc w:val="right"/>
        <w:rPr>
          <w:vanish w:val="0"/>
        </w:rPr>
      </w:pPr>
      <w:r>
        <w:rPr>
          <w:i/>
        </w:rPr>
        <w:t xml:space="preserve">Đơn vịtính: 100m3 nước</w:t>
      </w:r>
    </w:p>
    <w:tbl>
      <w:tblPr>
        <w:tblStyle w:val="TableNorm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gridCol w:w="60"/>
        <w:gridCol w:w="60"/>
      </w:tblGrid>
      <w:tr>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Mã hiệu</w:t>
            </w:r>
          </w:p>
        </w:tc>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Loại công tác</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Thành phần hao phí</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Đơn vị</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Định mức</w:t>
            </w:r>
          </w:p>
        </w:tc>
      </w:tr>
      <w:tr>
        <w:trPr/>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rPr>
                <w:b/>
              </w:rPr>
              <w:t xml:space="preserve">MT5.03.00</w:t>
            </w:r>
          </w:p>
        </w:tc>
        <w:tc>
          <w:tcPr>
            <w:tcW w:w="0" w:type="auto"/>
            <w:vMerge w:val="restart"/>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Công tác vận hành hệ thống bơm nước cung cấp nước rửa đường</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Nhân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Cấp bậc thợ bình quân 3,5/7</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công</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0,450</w:t>
            </w:r>
          </w:p>
        </w:tc>
      </w:tr>
      <w:tr>
        <w:trPr/>
        <w:tc>
          <w:tcPr>
            <w:tcW w:w="0" w:type="auto"/>
            <w:vMerge/>
            <w:shd w:val="clear" w:color="auto" w:fill="auto"/>
            <w:vAlign w:val="center"/>
          </w:tcPr>
          <w:p>
            <w:pPr/>
          </w:p>
        </w:tc>
        <w:tc>
          <w:tcPr>
            <w:tcW w:w="0" w:type="auto"/>
            <w:vMerge/>
            <w:shd w:val="clear" w:color="auto" w:fill="auto"/>
            <w:vAlign w:val="center"/>
          </w:tcPr>
          <w:p>
            <w:pP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Máy thi công:</w:t>
            </w:r>
          </w:p>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 Máy bơm 24kw</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ca</w:t>
            </w:r>
          </w:p>
        </w:tc>
        <w:tc>
          <w:tcPr>
            <w:tcW w:w="0" w:type="auto"/>
            <w:gridSpan w:val="2"/>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0,133</w:t>
            </w:r>
          </w:p>
        </w:tc>
      </w:tr>
    </w:tbl>
    <w:p>
      <w:pPr/>
    </w:p>
    <w:sectPr>
      <w:headerReference w:type="default" r:id="rId7"/>
      <w:footerReference w:type="default" r:id="rId8"/>
      <w:pgSz w:w="11907" w:h="16839" w:orient="portrait"/>
      <w:pgMar w:top="1440" w:right="1440" w:bottom="1440" w:left="1440" w:header="800" w:footer="80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Times New Roman" w:eastAsia="Times New Roman" w:hAnsi="Times New Roman" w:cs="Times New Roman"/>
        <w:b/>
        <w:color w:val="0000FF"/>
        <w:sz w:val="28"/>
      </w:rPr>
      <w:t xml:space="preserve">LUẬT SƯ TƯ VẤN PHÁP LUẬT 24/7 GỌI </w:t>
    </w:r>
    <w:r>
      <w:rPr>
        <w:rFonts w:ascii="Times New Roman" w:eastAsia="Times New Roman" w:hAnsi="Times New Roman" w:cs="Times New Roman"/>
        <w:b/>
        <w:color w:val="FF0000"/>
        <w:sz w:val="28"/>
      </w:rPr>
      <w:t xml:space="preserve">1900 6162</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Arial" w:eastAsia="Arial" w:hAnsi="Arial" w:cs="Arial"/>
        <w:b/>
        <w:color w:val="A52A2A"/>
        <w:sz w:val="24"/>
      </w:rPr>
      <w:t xml:space="preserve">Công ty luật Minh Khuê</w:t>
      <w:tab/>
      <w:tab/>
      <w:tab/>
      <w:tab/>
      <w:tab/>
      <w:tab/>
    </w:r>
    <w:r>
      <w:rPr>
        <w:rFonts w:ascii="Arial" w:eastAsia="Arial" w:hAnsi="Arial" w:cs="Arial"/>
        <w:b w:val="0"/>
        <w:color w:val="0000FF"/>
        <w:sz w:val="24"/>
        <w:u w:val="single"/>
      </w:rPr>
      <w:t xml:space="preserve">www.luatminhkhue.vn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ocumentProtection w:edit="trackedChanges" w:enforcement="0"/>
  <w:defaultTabStop w:val="720"/>
  <w:characterSpacingControl w:val="doNotCompress"/>
  <w:compat>
    <w:doNotExpandShiftReturn/>
    <w:doNotSnapToGridInCell/>
    <w:doNotWrapTextWithPunct/>
    <w:doNotUseEastAsianBreakRules/>
    <w:growAutofit/>
    <w:useFELayou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character" w:styleId="Hyperlink">
    <w:name w:val="Hyperlink"/>
    <w:rPr>
      <w:color w:val="0000FF"/>
      <w:u w:val="single"/>
    </w:rPr>
  </w:style>
  <w:style w:type="table" w:default="1" w:styleId="TableNormal">
    <w:name w:val="Normal Table"/>
    <w:uiPriority w:val="99"/>
    <w:semiHidden/>
    <w:unhideWhenUsed/>
    <w:qFormat/>
    <w:rPr/>
    <w:tblPr>
      <w:tblInd w:w="0" w:type="dxa"/>
      <w:tblCellMar>
        <w:top w:w="0" w:type="dxa"/>
        <w:left w:w="108" w:type="dxa"/>
        <w:bottom w:w="0" w:type="dxa"/>
        <w:right w:w="108" w:type="dxa"/>
      </w:tblCellMar>
    </w:tblPr>
  </w:style>
  <w:style w:type="table" w:styleId="TableGrid">
    <w:name w:val="Table Grid"/>
    <w:basedOn w:val="TableNorm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20"/>
      <w:marBottom w:val="-20"/>
      <w:divBdr>
        <w:top w:val="none" w:sz="0" w:space="0" w:color="auto"/>
        <w:left w:val="none" w:sz="0" w:space="0" w:color="auto"/>
        <w:bottom w:val="none" w:sz="0" w:space="0" w:color="auto"/>
        <w:right w:val="none" w:sz="0" w:space="0" w:color="auto"/>
      </w:divBdr>
      <w:divsChild>
        <w:div w:id="2">
          <w:marLeft w:val="0"/>
          <w:marRight w:val="0"/>
          <w:marTop w:val="-20"/>
          <w:marBottom w:val="-20"/>
          <w:divBdr>
            <w:top w:val="none" w:sz="0" w:space="0" w:color="auto"/>
            <w:left w:val="none" w:sz="0" w:space="0" w:color="auto"/>
            <w:bottom w:val="none" w:sz="0" w:space="0" w:color="auto"/>
            <w:right w:val="none" w:sz="0" w:space="0" w:color="auto"/>
          </w:divBdr>
        </w:div>
        <w:div w:id="3">
          <w:marLeft w:val="0"/>
          <w:marRight w:val="0"/>
          <w:marTop w:val="-20"/>
          <w:marBottom w:val="-20"/>
          <w:divBdr>
            <w:top w:val="none" w:sz="0" w:space="0" w:color="auto"/>
            <w:left w:val="none" w:sz="0" w:space="0" w:color="auto"/>
            <w:bottom w:val="none" w:sz="0" w:space="0" w:color="auto"/>
            <w:right w:val="none" w:sz="0" w:space="0" w:color="auto"/>
          </w:divBdr>
        </w:div>
        <w:div w:id="4">
          <w:marLeft w:val="0"/>
          <w:marRight w:val="0"/>
          <w:marTop w:val="-20"/>
          <w:marBottom w:val="-20"/>
          <w:divBdr>
            <w:top w:val="none" w:sz="0" w:space="0" w:color="auto"/>
            <w:left w:val="none" w:sz="0" w:space="0" w:color="auto"/>
            <w:bottom w:val="none" w:sz="0" w:space="0" w:color="auto"/>
            <w:right w:val="none" w:sz="0" w:space="0" w:color="auto"/>
          </w:divBdr>
        </w:div>
        <w:div w:id="5">
          <w:marLeft w:val="0"/>
          <w:marRight w:val="0"/>
          <w:marTop w:val="-20"/>
          <w:marBottom w:val="-20"/>
          <w:divBdr>
            <w:top w:val="none" w:sz="0" w:space="0" w:color="auto"/>
            <w:left w:val="none" w:sz="0" w:space="0" w:color="auto"/>
            <w:bottom w:val="none" w:sz="0" w:space="0" w:color="auto"/>
            <w:right w:val="none" w:sz="0" w:space="0" w:color="auto"/>
          </w:divBdr>
        </w:div>
        <w:div w:id="6">
          <w:marLeft w:val="0"/>
          <w:marRight w:val="0"/>
          <w:marTop w:val="-20"/>
          <w:marBottom w:val="-2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styles" Target="styles.xml" /><Relationship Id="rId11" Type="http://schemas.openxmlformats.org/officeDocument/2006/relationships/webSettings" Target="webSettings.xml" /><Relationship Id="rId12" Type="http://schemas.openxmlformats.org/officeDocument/2006/relationships/numbering" Target="numbering.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hyperlink" Target="/nghi-dinh-so-62-2013-nd-cp-cua-chinh-phu---quy-dinh-chuc-nang--nhiem-vu--quyen-han-va-co-cau-to-chuc-cua-bo-xay-dung.aspx" TargetMode="External" /><Relationship Id="rId4" Type="http://schemas.openxmlformats.org/officeDocument/2006/relationships/hyperlink" Target="/nghi-dinh-so-130-2013-nd-cp-cua-chinh-phu---ve-san-xuat-va-cung-ung-san-pham--dich-vu-cong-ich.aspx" TargetMode="External" /><Relationship Id="rId5" Type="http://schemas.openxmlformats.org/officeDocument/2006/relationships/hyperlink" Target="/nghi-dinh-so-59-2007-nd-cp-cua-chinh-phu---ve-quan-ly-chat-thai-ran.aspx" TargetMode="External" /><Relationship Id="rId6" Type="http://schemas.openxmlformats.org/officeDocument/2006/relationships/hyperlink" Target="/nghi-dinh-so-42-2009-nd-cp-cua-chinh-phu---ve-viec-phan-loai-do-thi.aspx"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2022-06-21T15:54:31Z</dcterms:created>
  <dcterms:modified xsi:type="dcterms:W3CDTF">2022-06-21T15:54:31Z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Minh Khuê</dc:creator>
  <dc:description>Xem chi tiết và tải về văn bản tại website https://luatminhkhue.vn</dc:description>
  <cp:revision>1</cp:revision>
  <dcterms:created xsi:type="dcterms:W3CDTF">2022-06-21T15:54:31Z</dcterms:created>
  <dcterms:modified xsi:type="dcterms:W3CDTF">2022-06-21T15:54:31Z</dcterms:modified>
</cp:coreProperties>
</file>