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TÀI CHÍNH</w:t>
            </w:r>
            <w:r>
              <w:rPr/>
              <w:br/>
            </w:r>
            <w:r>
              <w:t xml:space="preserve"> </w:t>
            </w:r>
            <w:r>
              <w:rPr>
                <w:b/>
              </w:rPr>
              <w:t xml:space="preserve">TỔNG CỤC THUẾ</w:t>
            </w:r>
            <w:r>
              <w:rPr>
                <w:b/>
              </w:rPr>
              <w:br/>
            </w:r>
            <w:r>
              <w:rPr>
                <w:b/>
              </w:rPr>
              <w:t xml:space="preserve">-------</w:t>
            </w:r>
          </w:p>
          <w:p>
            <w:pPr>
              <w:pStyle w:val="Normal(Web)"/>
              <w:divId w:val="2"/>
              <w:jc w:val="center"/>
              <w:rPr>
                <w:vanish w:val="0"/>
              </w:rPr>
            </w:pPr>
            <w:r>
              <w:t xml:space="preserve">Số: 2262/QĐ-TCT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08 tháng 12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BAN HÀNH CHƯƠNG TRÌNH BỒI DƯỠNG NGHIỆP VỤ THANH TRA CHUYÊN NGÀNH THUẾ</w:t>
      </w:r>
    </w:p>
    <w:p>
      <w:pPr>
        <w:pStyle w:val="Normal(Web)"/>
        <w:divId w:val="7"/>
        <w:jc w:val="center"/>
        <w:rPr>
          <w:vanish w:val="0"/>
        </w:rPr>
      </w:pPr>
      <w:r>
        <w:t xml:space="preserve">------------------------</w:t>
      </w:r>
    </w:p>
    <w:p>
      <w:pPr>
        <w:pStyle w:val="Normal(Web)"/>
        <w:divId w:val="8"/>
        <w:jc w:val="center"/>
        <w:rPr>
          <w:vanish w:val="0"/>
        </w:rPr>
      </w:pPr>
      <w:r>
        <w:t xml:space="preserve">TỔNG CỤC TRƯỞNG TỔNG CỤC THUẾ</w:t>
      </w:r>
    </w:p>
    <w:p>
      <w:pPr>
        <w:pStyle w:val="Normal(Web)"/>
        <w:divId w:val="9"/>
        <w:rPr>
          <w:vanish w:val="0"/>
        </w:rPr>
      </w:pPr>
      <w:r>
        <w:rPr>
          <w:i/>
        </w:rPr>
        <w:t xml:space="preserve">Căn cứ Quyết định số 115/2009/QĐ-TTg ngày 28/9/2009 của Thủ tướng Chính phủ quy định chức năng, nhiệm vụ, quyền hạn và cơ cấu tổ chức của Tổng cục Thuế trực thuộc Bộ Tài chính;</w:t>
      </w:r>
    </w:p>
    <w:p>
      <w:pPr>
        <w:pStyle w:val="Normal(Web)"/>
        <w:divId w:val="10"/>
        <w:rPr>
          <w:vanish w:val="0"/>
        </w:rPr>
      </w:pPr>
      <w:r>
        <w:rPr>
          <w:i/>
        </w:rPr>
        <w:t xml:space="preserve">Căn cứ </w:t>
      </w:r>
      <w:r>
        <w:rPr>
          <w:i/>
        </w:rPr>
        <w:t xml:space="preserve">Nghị định số</w:t>
      </w:r>
      <w:r>
        <w:rPr>
          <w:i/>
        </w:rPr>
        <w:t xml:space="preserve"> 18/2010/NĐ-CP ngày 05/03/2010 của Chính phủ về đào tạo, bồi dưỡng công chức;</w:t>
      </w:r>
    </w:p>
    <w:p>
      <w:pPr>
        <w:pStyle w:val="Normal(Web)"/>
        <w:divId w:val="11"/>
        <w:rPr>
          <w:vanish w:val="0"/>
        </w:rPr>
      </w:pPr>
      <w:r>
        <w:rPr>
          <w:i/>
        </w:rPr>
        <w:t xml:space="preserve">Căn cứ Thông tư số 03/2011/TT-BNV ngày 25/01/2011 của Bộ Nội vụ hướng dẫn thực hiện một số điều của Nghị định số </w:t>
      </w:r>
      <w:hyperlink r:id="rId3" w:history="1">
        <w:r>
          <w:rPr>
            <w:rStyle w:val="Hyperlink"/>
            <w:i/>
          </w:rPr>
          <w:t xml:space="preserve">18/2010/NĐ-CP </w:t>
        </w:r>
      </w:hyperlink>
      <w:r>
        <w:rPr>
          <w:i/>
        </w:rPr>
        <w:t xml:space="preserve"> ngày 05/03/2010 của Chính phủ về đào tạo, bồi dưỡng công chức;</w:t>
      </w:r>
    </w:p>
    <w:p>
      <w:pPr>
        <w:pStyle w:val="Normal(Web)"/>
        <w:divId w:val="12"/>
        <w:rPr>
          <w:vanish w:val="0"/>
        </w:rPr>
      </w:pPr>
      <w:r>
        <w:rPr>
          <w:i/>
        </w:rPr>
        <w:t xml:space="preserve">Căn cứ Quyết định số 1648/QĐ-BTC </w:t>
      </w:r>
      <w:r>
        <w:rPr>
          <w:i/>
        </w:rPr>
        <w:t xml:space="preserve">ngày</w:t>
      </w:r>
      <w:r>
        <w:rPr>
          <w:i/>
        </w:rPr>
        <w:t xml:space="preserve"> 02/07/2012 của Bộ trưởng Bộ Tài chính về việc ban hành Quy chế đào tạo, bồi dưỡng công chức, viên chức ngành Tài chính;</w:t>
      </w:r>
    </w:p>
    <w:p>
      <w:pPr>
        <w:pStyle w:val="Normal(Web)"/>
        <w:divId w:val="13"/>
        <w:rPr>
          <w:vanish w:val="0"/>
        </w:rPr>
      </w:pPr>
      <w:r>
        <w:rPr>
          <w:i/>
        </w:rPr>
        <w:t xml:space="preserve">Xét đề nghị của Vụ trưởng Vụ Thanh tra và Giám đốc Trường Nghiệp vụ Thuế - Tổng cục Thuế,</w:t>
      </w:r>
    </w:p>
    <w:p>
      <w:pPr>
        <w:pStyle w:val="Normal(Web)"/>
        <w:divId w:val="14"/>
        <w:jc w:val="center"/>
        <w:rPr>
          <w:vanish w:val="0"/>
        </w:rPr>
      </w:pPr>
      <w:r>
        <w:rPr>
          <w:b/>
        </w:rPr>
        <w:t xml:space="preserve">QUYẾT ĐỊNH:</w:t>
      </w:r>
    </w:p>
    <w:p>
      <w:pPr>
        <w:pStyle w:val="Normal(Web)"/>
        <w:divId w:val="15"/>
        <w:rPr>
          <w:vanish w:val="0"/>
        </w:rPr>
      </w:pPr>
      <w:r>
        <w:rPr>
          <w:b/>
        </w:rPr>
        <w:t xml:space="preserve">Điều 1.</w:t>
      </w:r>
      <w:r>
        <w:t xml:space="preserve"> Ban hành Chương trình bồi dưỡng nghiệp vụ thanh tra chuyên ngành Thuế (Chi tiết nội dung chương trình đính kèm).</w:t>
      </w:r>
    </w:p>
    <w:p>
      <w:pPr>
        <w:pStyle w:val="Normal(Web)"/>
        <w:divId w:val="16"/>
        <w:rPr>
          <w:vanish w:val="0"/>
        </w:rPr>
      </w:pPr>
      <w:r>
        <w:rPr>
          <w:b/>
        </w:rPr>
        <w:t xml:space="preserve">Điều 2.</w:t>
      </w:r>
      <w:r>
        <w:t xml:space="preserve"> Giao Vụ Thanh tra - Tổng cục Thuế chủ trì biên soạn tài liệu bồi dưỡng theo nội dung chương trình quy định tại Điều 1; hàng năm </w:t>
      </w:r>
      <w:r>
        <w:t xml:space="preserve">nghiên cứu</w:t>
      </w:r>
      <w:r>
        <w:t xml:space="preserve">, cập nhật chương trình, tài liệu bồi dưỡng và trình cấp có thẩm quyền phê duyệt.</w:t>
      </w:r>
    </w:p>
    <w:p>
      <w:pPr>
        <w:pStyle w:val="Normal(Web)"/>
        <w:divId w:val="17"/>
        <w:rPr>
          <w:vanish w:val="0"/>
        </w:rPr>
      </w:pPr>
      <w:r>
        <w:rPr>
          <w:b/>
        </w:rPr>
        <w:t xml:space="preserve">Điều 3.</w:t>
      </w:r>
      <w:r>
        <w:t xml:space="preserve"> Quyết định này có hiệu lực thi hành kể từ ngày ký. Vụ trưởng Vụ Tổ chức cán bộ, Chánh văn phòng Tổng cục Thuế, Vụ trưởng Vụ Thanh tra, Giám đốc Trường Nghiệp vụ Thuế, Thủ trưởng các đơn vị thuộc, trực thuộc </w:t>
      </w:r>
      <w:r>
        <w:t xml:space="preserve">Tổng</w:t>
      </w:r>
      <w:r>
        <w:t xml:space="preserve"> cục Thuế và các </w:t>
      </w:r>
      <w:r>
        <w:t xml:space="preserve">đơn vị</w:t>
      </w:r>
      <w:r>
        <w:t xml:space="preserve">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
              <w:rPr>
                <w:vanish w:val="0"/>
              </w:rPr>
            </w:pPr>
            <w:r>
              <w:rPr>
                <w:b/>
                <w:i/>
              </w:rPr>
              <w:t xml:space="preserve">Nơi nhận:</w:t>
            </w:r>
            <w:r>
              <w:rPr>
                <w:b/>
                <w:i/>
              </w:rPr>
              <w:br/>
            </w:r>
            <w:r>
              <w:rPr>
                <w:b/>
                <w:i/>
              </w:rPr>
              <w:t xml:space="preserve"> </w:t>
            </w:r>
            <w:r>
              <w:t xml:space="preserve">- Như Điều 3;</w:t>
            </w:r>
            <w:r>
              <w:rPr/>
              <w:br/>
            </w:r>
            <w:r>
              <w:t xml:space="preserve">- Lãnh đạo Bộ Tài chính (để báo cáo);</w:t>
            </w:r>
            <w:r>
              <w:rPr/>
              <w:br/>
            </w:r>
            <w:r>
              <w:t xml:space="preserve">- Lãnh đạo Tổng cục Thuế;</w:t>
            </w:r>
            <w:r>
              <w:rPr/>
              <w:br/>
            </w:r>
            <w:r>
              <w:t xml:space="preserve">- Lưu: VT, TNV (5 bản).</w:t>
            </w:r>
          </w:p>
        </w:tc>
        <w:tc>
          <w:tcPr>
            <w:tcW w:w="0" w:type="auto"/>
            <w:shd w:val="clear" w:color="auto" w:fill="auto"/>
            <w:vAlign w:val="center"/>
          </w:tcPr>
          <w:p>
            <w:pPr>
              <w:pStyle w:val="Normal(Web)"/>
              <w:divId w:val="19"/>
              <w:jc w:val="center"/>
              <w:rPr>
                <w:vanish w:val="0"/>
              </w:rPr>
            </w:pPr>
            <w:r>
              <w:rPr>
                <w:b/>
              </w:rPr>
              <w:t xml:space="preserve">TỔNG CỤC TRƯỞNG</w:t>
            </w:r>
            <w:r>
              <w:rPr>
                <w:b/>
              </w:rPr>
              <w:br/>
            </w:r>
            <w:r>
              <w:rPr>
                <w:b/>
              </w:rPr>
              <w:t xml:space="preserve"> </w:t>
            </w:r>
            <w:r>
              <w:rPr>
                <w:b/>
              </w:rPr>
              <w:br/>
            </w:r>
            <w:r>
              <w:rPr>
                <w:b/>
              </w:rPr>
              <w:t xml:space="preserve"> </w:t>
            </w:r>
            <w:r>
              <w:rPr>
                <w:b/>
              </w:rPr>
              <w:br/>
            </w:r>
            <w:r>
              <w:rPr>
                <w:b/>
              </w:rPr>
              <w:t xml:space="preserve"> </w:t>
            </w:r>
            <w:r>
              <w:rPr>
                <w:b/>
              </w:rPr>
              <w:br/>
            </w:r>
            <w:r>
              <w:rPr>
                <w:b/>
              </w:rPr>
              <w:t xml:space="preserve">Bùi Văn Nam</w:t>
            </w:r>
          </w:p>
        </w:tc>
      </w:tr>
    </w:tbl>
    <w:p>
      <w:pPr>
        <w:pStyle w:val="Normal(Web)"/>
        <w:divId w:val="20"/>
        <w:jc w:val="center"/>
        <w:rPr>
          <w:vanish w:val="0"/>
        </w:rPr>
      </w:pPr>
      <w:r>
        <w:rPr>
          <w:b/>
        </w:rPr>
        <w:t xml:space="preserve">CHƯƠNG TRÌNH</w:t>
      </w:r>
    </w:p>
    <w:p>
      <w:pPr>
        <w:pStyle w:val="Normal(Web)"/>
        <w:divId w:val="21"/>
        <w:jc w:val="center"/>
        <w:rPr>
          <w:vanish w:val="0"/>
        </w:rPr>
      </w:pPr>
      <w:r>
        <w:rPr>
          <w:b/>
        </w:rPr>
        <w:t xml:space="preserve">BỒI DƯỠNG NGHIỆP VỤ THANH TRA CHUYÊN NGÀNH THUẾ</w:t>
      </w:r>
      <w:r>
        <w:rPr/>
        <w:br/>
      </w:r>
      <w:r>
        <w:rPr>
          <w:i/>
        </w:rPr>
        <w:t xml:space="preserve">(Ban hành kèm theo Quyết định số 2262/QĐ-TCT ngày 08 tháng 12 năm 2014 của</w:t>
      </w:r>
      <w:r>
        <w:rPr>
          <w:i/>
        </w:rPr>
        <w:t xml:space="preserve">Tổng</w:t>
      </w:r>
      <w:r>
        <w:rPr>
          <w:i/>
        </w:rPr>
        <w:t xml:space="preserve"> cục trưởng </w:t>
      </w:r>
      <w:r>
        <w:rPr>
          <w:i/>
        </w:rPr>
        <w:t xml:space="preserve">Tổng</w:t>
      </w:r>
      <w:r>
        <w:rPr>
          <w:i/>
        </w:rPr>
        <w:t xml:space="preserve"> cục Thuế)</w:t>
      </w:r>
    </w:p>
    <w:p>
      <w:pPr>
        <w:pStyle w:val="Normal(Web)"/>
        <w:divId w:val="22"/>
        <w:rPr>
          <w:vanish w:val="0"/>
        </w:rPr>
      </w:pPr>
      <w:r>
        <w:rPr>
          <w:b/>
        </w:rPr>
        <w:t xml:space="preserve">I. ĐỐI TƯỢNG BỒI DƯỠNG</w:t>
      </w:r>
    </w:p>
    <w:p>
      <w:pPr>
        <w:pStyle w:val="Normal(Web)"/>
        <w:divId w:val="23"/>
        <w:rPr>
          <w:vanish w:val="0"/>
        </w:rPr>
      </w:pPr>
      <w:r>
        <w:t xml:space="preserve">Công chức thuộc biên chế của cơ quan thuế các cấp, được giao thực hiện chức năng thanh tra chuyên ngành Thuế.</w:t>
      </w:r>
    </w:p>
    <w:p>
      <w:pPr>
        <w:pStyle w:val="Normal(Web)"/>
        <w:divId w:val="24"/>
        <w:rPr>
          <w:vanish w:val="0"/>
        </w:rPr>
      </w:pPr>
      <w:r>
        <w:rPr>
          <w:b/>
        </w:rPr>
        <w:t xml:space="preserve">II. MỤC TIÊU BỒI DƯỠNG</w:t>
      </w:r>
    </w:p>
    <w:p>
      <w:pPr>
        <w:pStyle w:val="Normal(Web)"/>
        <w:divId w:val="25"/>
        <w:rPr>
          <w:vanish w:val="0"/>
        </w:rPr>
      </w:pPr>
      <w:r>
        <w:t xml:space="preserve">1. </w:t>
      </w:r>
      <w:r>
        <w:rPr>
          <w:b/>
        </w:rPr>
        <w:t xml:space="preserve">Mục tiêu chung</w:t>
      </w:r>
    </w:p>
    <w:p>
      <w:pPr>
        <w:pStyle w:val="Normal(Web)"/>
        <w:divId w:val="26"/>
        <w:rPr>
          <w:vanish w:val="0"/>
        </w:rPr>
      </w:pPr>
      <w:r>
        <w:t xml:space="preserve">Trang bị những kiến thức, kỹ năng cơ bản cần thiết về công tác thanh tra chuyên ngành Thuế nhằm nâng cao năng lực của công chức được giao thực hiện chức năng thanh tra chuyên ngành Thuế trong việc thực hiện nhiệm vụ, đáp ứng yêu cầu tiêu chuẩn hóa chức danh “Thanh tra chuyên ngành Thuế” theo quy định của công tác quản lý nhà nước về lĩnh vực thuế.</w:t>
      </w:r>
    </w:p>
    <w:p>
      <w:pPr>
        <w:pStyle w:val="Normal(Web)"/>
        <w:divId w:val="27"/>
        <w:rPr>
          <w:vanish w:val="0"/>
        </w:rPr>
      </w:pPr>
      <w:r>
        <w:t xml:space="preserve">2. </w:t>
      </w:r>
      <w:r>
        <w:rPr>
          <w:b/>
        </w:rPr>
        <w:t xml:space="preserve">Mục tiêu cụ thể</w:t>
      </w:r>
    </w:p>
    <w:p>
      <w:pPr>
        <w:pStyle w:val="Normal(Web)"/>
        <w:divId w:val="28"/>
        <w:rPr>
          <w:vanish w:val="0"/>
        </w:rPr>
      </w:pPr>
      <w:r>
        <w:t xml:space="preserve">Trang bị cho công chức được giao thực hiện chức năng thanh tra chuyên ngành Thuế:</w:t>
      </w:r>
    </w:p>
    <w:p>
      <w:pPr>
        <w:pStyle w:val="Normal(Web)"/>
        <w:divId w:val="29"/>
        <w:rPr>
          <w:vanish w:val="0"/>
        </w:rPr>
      </w:pPr>
      <w:r>
        <w:t xml:space="preserve">- Các kiến thức cơ bản phục vụ công tác thanh tra thuế.</w:t>
      </w:r>
    </w:p>
    <w:p>
      <w:pPr>
        <w:pStyle w:val="Normal(Web)"/>
        <w:divId w:val="30"/>
        <w:rPr>
          <w:vanish w:val="0"/>
        </w:rPr>
      </w:pPr>
      <w:r>
        <w:t xml:space="preserve">- Kỹ năng cần thiết để thực hiện thanh tra thuế.</w:t>
      </w:r>
    </w:p>
    <w:p>
      <w:pPr>
        <w:pStyle w:val="Normal(Web)"/>
        <w:divId w:val="31"/>
        <w:rPr>
          <w:vanish w:val="0"/>
        </w:rPr>
      </w:pPr>
      <w:r>
        <w:rPr>
          <w:b/>
        </w:rPr>
        <w:t xml:space="preserve">III. PHƯƠNG PHÁP THIẾT KẾ CHƯƠNG TRÌNH</w:t>
      </w:r>
    </w:p>
    <w:p>
      <w:pPr>
        <w:pStyle w:val="Normal(Web)"/>
        <w:divId w:val="32"/>
        <w:rPr>
          <w:vanish w:val="0"/>
        </w:rPr>
      </w:pPr>
      <w:r>
        <w:t xml:space="preserve">Chương trình được thiết kế bao gồm 03 phần kiến thức: Kiến thức cơ bản phục vụ công tác thanh tra thuế; Kỹ năng thanh tra thuế; Các hoạt động khác. Trong mỗi phần kiến thức có các chuyên đề và thời lượng phù hợp với yêu cầu về tiêu chuẩn thanh tra chuyên ngành Thuế.</w:t>
      </w:r>
    </w:p>
    <w:p>
      <w:pPr>
        <w:pStyle w:val="Normal(Web)"/>
        <w:divId w:val="33"/>
        <w:rPr>
          <w:vanish w:val="0"/>
        </w:rPr>
      </w:pPr>
      <w:r>
        <w:t xml:space="preserve">Học viên học đủ các phần kiến thức và kỹ năng, làm bài kiểm tra đạt yêu cầu của chương trình sẽ được cấp Chứng chỉ bồi dưỡng nghiệp vụ thanh tra chuyên ngành Thuế theo quy định.</w:t>
      </w:r>
    </w:p>
    <w:p>
      <w:pPr>
        <w:pStyle w:val="Normal(Web)"/>
        <w:divId w:val="34"/>
        <w:rPr>
          <w:vanish w:val="0"/>
        </w:rPr>
      </w:pPr>
      <w:r>
        <w:rPr>
          <w:b/>
        </w:rPr>
        <w:t xml:space="preserve">IV. CẤU TRÚC CHƯƠNG TRÌNH BỒI DƯỠNG</w:t>
      </w:r>
    </w:p>
    <w:p>
      <w:pPr>
        <w:pStyle w:val="Normal(Web)"/>
        <w:divId w:val="35"/>
        <w:rPr>
          <w:vanish w:val="0"/>
        </w:rPr>
      </w:pPr>
      <w:r>
        <w:t xml:space="preserve">1. </w:t>
      </w:r>
      <w:r>
        <w:rPr>
          <w:b/>
        </w:rPr>
        <w:t xml:space="preserve">Khối lượng kiến thức và thời gian bồi dưỡng</w:t>
      </w:r>
    </w:p>
    <w:p>
      <w:pPr>
        <w:pStyle w:val="Normal(Web)"/>
        <w:divId w:val="36"/>
        <w:rPr>
          <w:vanish w:val="0"/>
        </w:rPr>
      </w:pPr>
      <w:r>
        <w:t xml:space="preserve">a) Khối lượng kiến thức</w:t>
      </w:r>
    </w:p>
    <w:p>
      <w:pPr>
        <w:pStyle w:val="Normal(Web)"/>
        <w:divId w:val="37"/>
        <w:rPr>
          <w:vanish w:val="0"/>
        </w:rPr>
      </w:pPr>
      <w:r>
        <w:t xml:space="preserve">Chương trình bồi dưỡng được chia thành 3 phần:</w:t>
      </w:r>
    </w:p>
    <w:p>
      <w:pPr>
        <w:pStyle w:val="Normal(Web)"/>
        <w:divId w:val="38"/>
        <w:rPr>
          <w:vanish w:val="0"/>
        </w:rPr>
      </w:pPr>
      <w:r>
        <w:t xml:space="preserve">- Phần I: Kiến thức cơ bản phục vụ công tác thanh tra thuế (05 chuyên đề giảng dạy).</w:t>
      </w:r>
    </w:p>
    <w:p>
      <w:pPr>
        <w:pStyle w:val="Normal(Web)"/>
        <w:divId w:val="39"/>
        <w:rPr>
          <w:vanish w:val="0"/>
        </w:rPr>
      </w:pPr>
      <w:r>
        <w:t xml:space="preserve">- Phần II: Kỹ năng thanh tra thuế (02 chuyên đề giảng dạy).</w:t>
      </w:r>
    </w:p>
    <w:p>
      <w:pPr>
        <w:pStyle w:val="Normal(Web)"/>
        <w:divId w:val="40"/>
        <w:rPr>
          <w:vanish w:val="0"/>
        </w:rPr>
      </w:pPr>
      <w:r>
        <w:t xml:space="preserve">- Phần III: Các hoạt động khác.</w:t>
      </w:r>
    </w:p>
    <w:p>
      <w:pPr>
        <w:pStyle w:val="Normal(Web)"/>
        <w:divId w:val="41"/>
        <w:rPr>
          <w:vanish w:val="0"/>
        </w:rPr>
      </w:pPr>
      <w:r>
        <w:t xml:space="preserve">b) Thời gian</w:t>
      </w:r>
      <w:r>
        <w:t xml:space="preserve"> bồi dưỡng</w:t>
      </w:r>
    </w:p>
    <w:p>
      <w:pPr>
        <w:pStyle w:val="Normal(Web)"/>
        <w:divId w:val="42"/>
        <w:rPr>
          <w:vanish w:val="0"/>
        </w:rPr>
      </w:pPr>
      <w:r>
        <w:t xml:space="preserve">Tổng thời gian bồi dưỡng là 2 tuần (10 ngày làm việc) với tổng thời lượng là 80 tiết (2 tuần x 5 ngày/tuần x 8 tiết/ngày), trong đó:</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3"/>
              <w:jc w:val="center"/>
              <w:rPr>
                <w:vanish w:val="0"/>
              </w:rPr>
            </w:pPr>
            <w:r>
              <w:rPr>
                <w:b/>
              </w:rPr>
              <w:t xml:space="preserve">STT</w:t>
            </w:r>
          </w:p>
        </w:tc>
        <w:tc>
          <w:tcPr>
            <w:tcW w:w="0" w:type="auto"/>
            <w:shd w:val="clear" w:color="auto" w:fill="auto"/>
            <w:vAlign w:val="center"/>
          </w:tcPr>
          <w:p>
            <w:pPr>
              <w:pStyle w:val="Normal(Web)"/>
              <w:divId w:val="44"/>
              <w:jc w:val="center"/>
              <w:rPr>
                <w:vanish w:val="0"/>
              </w:rPr>
            </w:pPr>
            <w:r>
              <w:rPr>
                <w:b/>
              </w:rPr>
              <w:t xml:space="preserve">HOẠT ĐỘNG</w:t>
            </w:r>
          </w:p>
        </w:tc>
        <w:tc>
          <w:tcPr>
            <w:tcW w:w="0" w:type="auto"/>
            <w:shd w:val="clear" w:color="auto" w:fill="auto"/>
            <w:vAlign w:val="center"/>
          </w:tcPr>
          <w:p>
            <w:pPr>
              <w:pStyle w:val="Normal(Web)"/>
              <w:divId w:val="45"/>
              <w:jc w:val="center"/>
              <w:rPr>
                <w:vanish w:val="0"/>
              </w:rPr>
            </w:pPr>
            <w:r>
              <w:rPr>
                <w:b/>
              </w:rPr>
              <w:t xml:space="preserve">Số tiết</w:t>
            </w:r>
          </w:p>
        </w:tc>
      </w:tr>
      <w:tr>
        <w:trPr>
          <w:jc w:val="left"/>
        </w:trPr>
        <w:tc>
          <w:tcPr>
            <w:tcW w:w="0" w:type="auto"/>
            <w:shd w:val="clear" w:color="auto" w:fill="auto"/>
            <w:vAlign w:val="center"/>
          </w:tcPr>
          <w:p>
            <w:pPr>
              <w:pStyle w:val="Normal(Web)"/>
              <w:divId w:val="46"/>
              <w:jc w:val="center"/>
              <w:rPr>
                <w:vanish w:val="0"/>
              </w:rPr>
            </w:pPr>
            <w:r>
              <w:t xml:space="preserve">1</w:t>
            </w:r>
          </w:p>
        </w:tc>
        <w:tc>
          <w:tcPr>
            <w:tcW w:w="0" w:type="auto"/>
            <w:shd w:val="clear" w:color="auto" w:fill="auto"/>
            <w:vAlign w:val="center"/>
          </w:tcPr>
          <w:p>
            <w:pPr>
              <w:pStyle w:val="Normal(Web)"/>
              <w:divId w:val="47"/>
              <w:rPr>
                <w:vanish w:val="0"/>
              </w:rPr>
            </w:pPr>
            <w:r>
              <w:t xml:space="preserve">Lý thuyết, thảo luận, giải quyết tình huống</w:t>
            </w:r>
          </w:p>
        </w:tc>
        <w:tc>
          <w:tcPr>
            <w:tcW w:w="0" w:type="auto"/>
            <w:shd w:val="clear" w:color="auto" w:fill="auto"/>
            <w:vAlign w:val="center"/>
          </w:tcPr>
          <w:p>
            <w:pPr>
              <w:pStyle w:val="Normal(Web)"/>
              <w:divId w:val="48"/>
              <w:jc w:val="center"/>
              <w:rPr>
                <w:vanish w:val="0"/>
              </w:rPr>
            </w:pPr>
            <w:r>
              <w:t xml:space="preserve">72</w:t>
            </w:r>
          </w:p>
        </w:tc>
      </w:tr>
      <w:tr>
        <w:trPr>
          <w:jc w:val="left"/>
        </w:trPr>
        <w:tc>
          <w:tcPr>
            <w:tcW w:w="0" w:type="auto"/>
            <w:shd w:val="clear" w:color="auto" w:fill="auto"/>
            <w:vAlign w:val="center"/>
          </w:tcPr>
          <w:p>
            <w:pPr>
              <w:pStyle w:val="Normal(Web)"/>
              <w:divId w:val="49"/>
              <w:jc w:val="center"/>
              <w:rPr>
                <w:vanish w:val="0"/>
              </w:rPr>
            </w:pPr>
            <w:r>
              <w:t xml:space="preserve">2</w:t>
            </w:r>
          </w:p>
        </w:tc>
        <w:tc>
          <w:tcPr>
            <w:tcW w:w="0" w:type="auto"/>
            <w:shd w:val="clear" w:color="auto" w:fill="auto"/>
            <w:vAlign w:val="center"/>
          </w:tcPr>
          <w:p>
            <w:pPr>
              <w:pStyle w:val="Normal(Web)"/>
              <w:divId w:val="50"/>
              <w:rPr>
                <w:vanish w:val="0"/>
              </w:rPr>
            </w:pPr>
            <w:r>
              <w:t xml:space="preserve">Ôn tập</w:t>
            </w:r>
          </w:p>
        </w:tc>
        <w:tc>
          <w:tcPr>
            <w:tcW w:w="0" w:type="auto"/>
            <w:shd w:val="clear" w:color="auto" w:fill="auto"/>
            <w:vAlign w:val="center"/>
          </w:tcPr>
          <w:p>
            <w:pPr>
              <w:pStyle w:val="Normal(Web)"/>
              <w:divId w:val="51"/>
              <w:jc w:val="center"/>
              <w:rPr>
                <w:vanish w:val="0"/>
              </w:rPr>
            </w:pPr>
            <w:r>
              <w:t xml:space="preserve">04</w:t>
            </w:r>
          </w:p>
        </w:tc>
      </w:tr>
      <w:tr>
        <w:trPr>
          <w:jc w:val="left"/>
        </w:trPr>
        <w:tc>
          <w:tcPr>
            <w:tcW w:w="0" w:type="auto"/>
            <w:shd w:val="clear" w:color="auto" w:fill="auto"/>
            <w:vAlign w:val="center"/>
          </w:tcPr>
          <w:p>
            <w:pPr>
              <w:pStyle w:val="Normal(Web)"/>
              <w:divId w:val="52"/>
              <w:jc w:val="center"/>
              <w:rPr>
                <w:vanish w:val="0"/>
              </w:rPr>
            </w:pPr>
            <w:r>
              <w:t xml:space="preserve">3</w:t>
            </w:r>
          </w:p>
        </w:tc>
        <w:tc>
          <w:tcPr>
            <w:tcW w:w="0" w:type="auto"/>
            <w:shd w:val="clear" w:color="auto" w:fill="auto"/>
            <w:vAlign w:val="center"/>
          </w:tcPr>
          <w:p>
            <w:pPr>
              <w:pStyle w:val="Normal(Web)"/>
              <w:divId w:val="53"/>
              <w:rPr>
                <w:vanish w:val="0"/>
              </w:rPr>
            </w:pPr>
            <w:r>
              <w:t xml:space="preserve">Kiểm tra</w:t>
            </w:r>
          </w:p>
        </w:tc>
        <w:tc>
          <w:tcPr>
            <w:tcW w:w="0" w:type="auto"/>
            <w:shd w:val="clear" w:color="auto" w:fill="auto"/>
            <w:vAlign w:val="center"/>
          </w:tcPr>
          <w:p>
            <w:pPr>
              <w:pStyle w:val="Normal(Web)"/>
              <w:divId w:val="54"/>
              <w:jc w:val="center"/>
              <w:rPr>
                <w:vanish w:val="0"/>
              </w:rPr>
            </w:pPr>
            <w:r>
              <w:t xml:space="preserve">04</w:t>
            </w:r>
          </w:p>
        </w:tc>
      </w:tr>
      <w:tr>
        <w:trPr>
          <w:jc w:val="left"/>
        </w:trPr>
        <w:tc>
          <w:tcPr>
            <w:tcW w:w="0" w:type="auto"/>
            <w:hMerge w:val="restart"/>
            <w:shd w:val="clear" w:color="auto" w:fill="auto"/>
            <w:vAlign w:val="center"/>
          </w:tcPr>
          <w:p>
            <w:pPr>
              <w:pStyle w:val="Normal(Web)"/>
              <w:divId w:val="55"/>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divId w:val="56"/>
              <w:jc w:val="center"/>
              <w:rPr>
                <w:vanish w:val="0"/>
              </w:rPr>
            </w:pPr>
            <w:r>
              <w:rPr>
                <w:b/>
              </w:rPr>
              <w:t xml:space="preserve">80</w:t>
            </w:r>
          </w:p>
        </w:tc>
      </w:tr>
    </w:tbl>
    <w:p>
      <w:pPr>
        <w:pStyle w:val="Normal(Web)"/>
        <w:divId w:val="57"/>
        <w:rPr>
          <w:vanish w:val="0"/>
        </w:rPr>
      </w:pPr>
      <w:r>
        <w:rPr>
          <w:b/>
        </w:rPr>
        <w:t xml:space="preserve">2. Kết cấu của chương trình</w:t>
      </w:r>
    </w:p>
    <w:p>
      <w:pPr>
        <w:pStyle w:val="Normal(Web)"/>
        <w:divId w:val="58"/>
        <w:jc w:val="center"/>
        <w:rPr>
          <w:vanish w:val="0"/>
        </w:rPr>
      </w:pPr>
      <w:r>
        <w:rPr>
          <w:b/>
        </w:rPr>
        <w:t xml:space="preserve">Phần I</w:t>
      </w:r>
    </w:p>
    <w:p>
      <w:pPr>
        <w:pStyle w:val="Normal(Web)"/>
        <w:divId w:val="59"/>
        <w:jc w:val="center"/>
        <w:rPr>
          <w:vanish w:val="0"/>
        </w:rPr>
      </w:pPr>
      <w:r>
        <w:rPr>
          <w:b/>
        </w:rPr>
        <w:t xml:space="preserve">KIẾN THỨC CƠ BẢN PHỤC VỤ CÔNG TÁC THANH TRA THUẾ</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60"/>
              <w:jc w:val="center"/>
              <w:rPr>
                <w:vanish w:val="0"/>
              </w:rPr>
            </w:pPr>
            <w:r>
              <w:rPr>
                <w:b/>
              </w:rPr>
              <w:t xml:space="preserve">STT</w:t>
            </w:r>
          </w:p>
        </w:tc>
        <w:tc>
          <w:tcPr>
            <w:tcW w:w="0" w:type="auto"/>
            <w:vMerge w:val="restart"/>
            <w:shd w:val="clear" w:color="auto" w:fill="auto"/>
            <w:vAlign w:val="center"/>
          </w:tcPr>
          <w:p>
            <w:pPr>
              <w:pStyle w:val="Normal(Web)"/>
              <w:divId w:val="61"/>
              <w:jc w:val="center"/>
              <w:rPr>
                <w:vanish w:val="0"/>
              </w:rPr>
            </w:pPr>
            <w:r>
              <w:rPr>
                <w:b/>
              </w:rPr>
              <w:t xml:space="preserve">Tên chuyên đề</w:t>
            </w:r>
          </w:p>
        </w:tc>
        <w:tc>
          <w:tcPr>
            <w:tcW w:w="0" w:type="auto"/>
            <w:gridSpan w:val="2"/>
            <w:hMerge w:val="restart"/>
            <w:shd w:val="clear" w:color="auto" w:fill="auto"/>
            <w:vAlign w:val="center"/>
          </w:tcPr>
          <w:p>
            <w:pPr>
              <w:pStyle w:val="Normal(Web)"/>
              <w:divId w:val="62"/>
              <w:jc w:val="center"/>
              <w:rPr>
                <w:vanish w:val="0"/>
              </w:rPr>
            </w:pPr>
            <w:r>
              <w:rPr>
                <w:b/>
              </w:rPr>
              <w:t xml:space="preserve">Số tiết</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63"/>
              <w:jc w:val="center"/>
              <w:rPr>
                <w:vanish w:val="0"/>
              </w:rPr>
            </w:pPr>
            <w:r>
              <w:rPr>
                <w:b/>
              </w:rPr>
              <w:t xml:space="preserve">Tổng</w:t>
            </w:r>
          </w:p>
        </w:tc>
        <w:tc>
          <w:tcPr>
            <w:tcW w:w="0" w:type="auto"/>
            <w:gridSpan w:val="2"/>
            <w:shd w:val="clear" w:color="auto" w:fill="auto"/>
            <w:vAlign w:val="center"/>
          </w:tcPr>
          <w:p>
            <w:pPr>
              <w:pStyle w:val="Normal(Web)"/>
              <w:divId w:val="64"/>
              <w:jc w:val="center"/>
              <w:rPr>
                <w:vanish w:val="0"/>
              </w:rPr>
            </w:pPr>
            <w:r>
              <w:rPr>
                <w:b/>
              </w:rPr>
              <w:t xml:space="preserve">Lý thuyết</w:t>
            </w:r>
          </w:p>
        </w:tc>
        <w:tc>
          <w:tcPr>
            <w:tcW w:w="0" w:type="auto"/>
            <w:gridSpan w:val="2"/>
            <w:shd w:val="clear" w:color="auto" w:fill="auto"/>
            <w:vAlign w:val="center"/>
          </w:tcPr>
          <w:p>
            <w:pPr>
              <w:pStyle w:val="Normal(Web)"/>
              <w:divId w:val="65"/>
              <w:jc w:val="center"/>
              <w:rPr>
                <w:vanish w:val="0"/>
              </w:rPr>
            </w:pPr>
            <w:r>
              <w:rPr>
                <w:b/>
              </w:rPr>
              <w:t xml:space="preserve">Thảo luận, thực hành</w:t>
            </w:r>
          </w:p>
        </w:tc>
      </w:tr>
      <w:tr>
        <w:trPr>
          <w:jc w:val="left"/>
        </w:trPr>
        <w:tc>
          <w:tcPr>
            <w:tcW w:w="0" w:type="auto"/>
            <w:shd w:val="clear" w:color="auto" w:fill="auto"/>
            <w:vAlign w:val="center"/>
          </w:tcPr>
          <w:p>
            <w:pPr>
              <w:pStyle w:val="Normal(Web)"/>
              <w:divId w:val="66"/>
              <w:jc w:val="center"/>
              <w:rPr>
                <w:vanish w:val="0"/>
              </w:rPr>
            </w:pPr>
            <w:r>
              <w:t xml:space="preserve">1</w:t>
            </w:r>
          </w:p>
        </w:tc>
        <w:tc>
          <w:tcPr>
            <w:tcW w:w="0" w:type="auto"/>
            <w:shd w:val="clear" w:color="auto" w:fill="auto"/>
            <w:vAlign w:val="center"/>
          </w:tcPr>
          <w:p>
            <w:pPr>
              <w:pStyle w:val="Normal(Web)"/>
              <w:divId w:val="67"/>
              <w:rPr>
                <w:vanish w:val="0"/>
              </w:rPr>
            </w:pPr>
            <w:r>
              <w:t xml:space="preserve">Luật Thanh tra và các văn bản hướng dẫn thi hành</w:t>
            </w:r>
          </w:p>
        </w:tc>
        <w:tc>
          <w:tcPr>
            <w:tcW w:w="0" w:type="auto"/>
            <w:gridSpan w:val="2"/>
            <w:shd w:val="clear" w:color="auto" w:fill="auto"/>
            <w:vAlign w:val="center"/>
          </w:tcPr>
          <w:p>
            <w:pPr>
              <w:pStyle w:val="Normal(Web)"/>
              <w:divId w:val="68"/>
              <w:jc w:val="center"/>
              <w:rPr>
                <w:vanish w:val="0"/>
              </w:rPr>
            </w:pPr>
            <w:r>
              <w:rPr>
                <w:b/>
              </w:rPr>
              <w:t xml:space="preserve">8</w:t>
            </w:r>
          </w:p>
        </w:tc>
        <w:tc>
          <w:tcPr>
            <w:tcW w:w="0" w:type="auto"/>
            <w:gridSpan w:val="2"/>
            <w:shd w:val="clear" w:color="auto" w:fill="auto"/>
            <w:vAlign w:val="center"/>
          </w:tcPr>
          <w:p>
            <w:pPr>
              <w:pStyle w:val="Normal(Web)"/>
              <w:divId w:val="69"/>
              <w:jc w:val="center"/>
              <w:rPr>
                <w:vanish w:val="0"/>
              </w:rPr>
            </w:pPr>
            <w:r>
              <w:t xml:space="preserve">8</w:t>
            </w:r>
          </w:p>
        </w:tc>
      </w:tr>
      <w:tr>
        <w:trPr>
          <w:jc w:val="left"/>
        </w:trPr>
        <w:tc>
          <w:tcPr>
            <w:tcW w:w="0" w:type="auto"/>
            <w:shd w:val="clear" w:color="auto" w:fill="auto"/>
            <w:vAlign w:val="center"/>
          </w:tcPr>
          <w:p>
            <w:pPr>
              <w:pStyle w:val="Normal(Web)"/>
              <w:divId w:val="70"/>
              <w:jc w:val="center"/>
              <w:rPr>
                <w:vanish w:val="0"/>
              </w:rPr>
            </w:pPr>
            <w:r>
              <w:t xml:space="preserve">2</w:t>
            </w:r>
          </w:p>
        </w:tc>
        <w:tc>
          <w:tcPr>
            <w:tcW w:w="0" w:type="auto"/>
            <w:shd w:val="clear" w:color="auto" w:fill="auto"/>
            <w:vAlign w:val="center"/>
          </w:tcPr>
          <w:p>
            <w:pPr>
              <w:pStyle w:val="Normal(Web)"/>
              <w:divId w:val="71"/>
              <w:rPr>
                <w:vanish w:val="0"/>
              </w:rPr>
            </w:pPr>
            <w:r>
              <w:t xml:space="preserve">Quy trình thanh tra thuế</w:t>
            </w:r>
          </w:p>
        </w:tc>
        <w:tc>
          <w:tcPr>
            <w:tcW w:w="0" w:type="auto"/>
            <w:gridSpan w:val="2"/>
            <w:shd w:val="clear" w:color="auto" w:fill="auto"/>
            <w:vAlign w:val="center"/>
          </w:tcPr>
          <w:p>
            <w:pPr>
              <w:pStyle w:val="Normal(Web)"/>
              <w:divId w:val="72"/>
              <w:jc w:val="center"/>
              <w:rPr>
                <w:vanish w:val="0"/>
              </w:rPr>
            </w:pPr>
            <w:r>
              <w:rPr>
                <w:b/>
              </w:rPr>
              <w:t xml:space="preserve">4</w:t>
            </w:r>
          </w:p>
        </w:tc>
        <w:tc>
          <w:tcPr>
            <w:tcW w:w="0" w:type="auto"/>
            <w:gridSpan w:val="2"/>
            <w:shd w:val="clear" w:color="auto" w:fill="auto"/>
            <w:vAlign w:val="center"/>
          </w:tcPr>
          <w:p>
            <w:pPr>
              <w:pStyle w:val="Normal(Web)"/>
              <w:divId w:val="73"/>
              <w:jc w:val="center"/>
              <w:rPr>
                <w:vanish w:val="0"/>
              </w:rPr>
            </w:pPr>
            <w:r>
              <w:t xml:space="preserve">4</w:t>
            </w:r>
          </w:p>
        </w:tc>
      </w:tr>
      <w:tr>
        <w:trPr>
          <w:jc w:val="left"/>
        </w:trPr>
        <w:tc>
          <w:tcPr>
            <w:tcW w:w="0" w:type="auto"/>
            <w:shd w:val="clear" w:color="auto" w:fill="auto"/>
            <w:vAlign w:val="center"/>
          </w:tcPr>
          <w:p>
            <w:pPr>
              <w:pStyle w:val="Normal(Web)"/>
              <w:divId w:val="74"/>
              <w:jc w:val="center"/>
              <w:rPr>
                <w:vanish w:val="0"/>
              </w:rPr>
            </w:pPr>
            <w:r>
              <w:t xml:space="preserve">3</w:t>
            </w:r>
          </w:p>
        </w:tc>
        <w:tc>
          <w:tcPr>
            <w:tcW w:w="0" w:type="auto"/>
            <w:shd w:val="clear" w:color="auto" w:fill="auto"/>
            <w:vAlign w:val="center"/>
          </w:tcPr>
          <w:p>
            <w:pPr>
              <w:pStyle w:val="Normal(Web)"/>
              <w:divId w:val="75"/>
              <w:rPr>
                <w:vanish w:val="0"/>
              </w:rPr>
            </w:pPr>
            <w:r>
              <w:t xml:space="preserve">Phân tích Báo cáo tài chính xác định rủi ro về thuế cho công tác thanh tra thuế</w:t>
            </w:r>
          </w:p>
        </w:tc>
        <w:tc>
          <w:tcPr>
            <w:tcW w:w="0" w:type="auto"/>
            <w:gridSpan w:val="2"/>
            <w:shd w:val="clear" w:color="auto" w:fill="auto"/>
            <w:vAlign w:val="center"/>
          </w:tcPr>
          <w:p>
            <w:pPr>
              <w:pStyle w:val="Normal(Web)"/>
              <w:divId w:val="76"/>
              <w:jc w:val="center"/>
              <w:rPr>
                <w:vanish w:val="0"/>
              </w:rPr>
            </w:pPr>
            <w:r>
              <w:rPr>
                <w:b/>
              </w:rPr>
              <w:t xml:space="preserve">8</w:t>
            </w:r>
          </w:p>
        </w:tc>
        <w:tc>
          <w:tcPr>
            <w:tcW w:w="0" w:type="auto"/>
            <w:gridSpan w:val="2"/>
            <w:shd w:val="clear" w:color="auto" w:fill="auto"/>
            <w:vAlign w:val="center"/>
          </w:tcPr>
          <w:p>
            <w:pPr>
              <w:pStyle w:val="Normal(Web)"/>
              <w:divId w:val="77"/>
              <w:jc w:val="center"/>
              <w:rPr>
                <w:vanish w:val="0"/>
              </w:rPr>
            </w:pPr>
            <w:r>
              <w:t xml:space="preserve">4</w:t>
            </w:r>
          </w:p>
        </w:tc>
        <w:tc>
          <w:tcPr>
            <w:tcW w:w="0" w:type="auto"/>
            <w:gridSpan w:val="2"/>
            <w:shd w:val="clear" w:color="auto" w:fill="auto"/>
            <w:vAlign w:val="center"/>
          </w:tcPr>
          <w:p>
            <w:pPr>
              <w:pStyle w:val="Normal(Web)"/>
              <w:divId w:val="78"/>
              <w:jc w:val="center"/>
              <w:rPr>
                <w:vanish w:val="0"/>
              </w:rPr>
            </w:pPr>
            <w:r>
              <w:t xml:space="preserve">4</w:t>
            </w:r>
          </w:p>
        </w:tc>
      </w:tr>
      <w:tr>
        <w:trPr>
          <w:jc w:val="left"/>
        </w:trPr>
        <w:tc>
          <w:tcPr>
            <w:tcW w:w="0" w:type="auto"/>
            <w:shd w:val="clear" w:color="auto" w:fill="auto"/>
            <w:vAlign w:val="center"/>
          </w:tcPr>
          <w:p>
            <w:pPr>
              <w:pStyle w:val="Normal(Web)"/>
              <w:divId w:val="79"/>
              <w:jc w:val="center"/>
              <w:rPr>
                <w:vanish w:val="0"/>
              </w:rPr>
            </w:pPr>
            <w:r>
              <w:t xml:space="preserve">4</w:t>
            </w:r>
          </w:p>
        </w:tc>
        <w:tc>
          <w:tcPr>
            <w:tcW w:w="0" w:type="auto"/>
            <w:shd w:val="clear" w:color="auto" w:fill="auto"/>
            <w:vAlign w:val="center"/>
          </w:tcPr>
          <w:p>
            <w:pPr>
              <w:pStyle w:val="Normal(Web)"/>
              <w:divId w:val="80"/>
              <w:rPr>
                <w:vanish w:val="0"/>
              </w:rPr>
            </w:pPr>
            <w:r>
              <w:t xml:space="preserve">Xử lý vi phạm hành chính trong công tác thanh tra thuế</w:t>
            </w:r>
          </w:p>
        </w:tc>
        <w:tc>
          <w:tcPr>
            <w:tcW w:w="0" w:type="auto"/>
            <w:gridSpan w:val="2"/>
            <w:shd w:val="clear" w:color="auto" w:fill="auto"/>
            <w:vAlign w:val="center"/>
          </w:tcPr>
          <w:p>
            <w:pPr>
              <w:pStyle w:val="Normal(Web)"/>
              <w:divId w:val="81"/>
              <w:jc w:val="center"/>
              <w:rPr>
                <w:vanish w:val="0"/>
              </w:rPr>
            </w:pPr>
            <w:r>
              <w:rPr>
                <w:b/>
              </w:rPr>
              <w:t xml:space="preserve">8</w:t>
            </w:r>
          </w:p>
        </w:tc>
        <w:tc>
          <w:tcPr>
            <w:tcW w:w="0" w:type="auto"/>
            <w:gridSpan w:val="2"/>
            <w:shd w:val="clear" w:color="auto" w:fill="auto"/>
            <w:vAlign w:val="center"/>
          </w:tcPr>
          <w:p>
            <w:pPr>
              <w:pStyle w:val="Normal(Web)"/>
              <w:divId w:val="82"/>
              <w:jc w:val="center"/>
              <w:rPr>
                <w:vanish w:val="0"/>
              </w:rPr>
            </w:pPr>
            <w:r>
              <w:t xml:space="preserve">4</w:t>
            </w:r>
          </w:p>
        </w:tc>
        <w:tc>
          <w:tcPr>
            <w:tcW w:w="0" w:type="auto"/>
            <w:gridSpan w:val="2"/>
            <w:shd w:val="clear" w:color="auto" w:fill="auto"/>
            <w:vAlign w:val="center"/>
          </w:tcPr>
          <w:p>
            <w:pPr>
              <w:pStyle w:val="Normal(Web)"/>
              <w:divId w:val="83"/>
              <w:jc w:val="center"/>
              <w:rPr>
                <w:vanish w:val="0"/>
              </w:rPr>
            </w:pPr>
            <w:r>
              <w:t xml:space="preserve">4</w:t>
            </w:r>
          </w:p>
        </w:tc>
      </w:tr>
      <w:tr>
        <w:trPr>
          <w:jc w:val="left"/>
        </w:trPr>
        <w:tc>
          <w:tcPr>
            <w:tcW w:w="0" w:type="auto"/>
            <w:shd w:val="clear" w:color="auto" w:fill="auto"/>
            <w:vAlign w:val="center"/>
          </w:tcPr>
          <w:p>
            <w:pPr>
              <w:pStyle w:val="Normal(Web)"/>
              <w:divId w:val="84"/>
              <w:jc w:val="center"/>
              <w:rPr>
                <w:vanish w:val="0"/>
              </w:rPr>
            </w:pPr>
            <w:r>
              <w:t xml:space="preserve">5</w:t>
            </w:r>
          </w:p>
        </w:tc>
        <w:tc>
          <w:tcPr>
            <w:tcW w:w="0" w:type="auto"/>
            <w:shd w:val="clear" w:color="auto" w:fill="auto"/>
            <w:vAlign w:val="center"/>
          </w:tcPr>
          <w:p>
            <w:pPr>
              <w:pStyle w:val="Normal(Web)"/>
              <w:divId w:val="85"/>
              <w:rPr>
                <w:vanish w:val="0"/>
              </w:rPr>
            </w:pPr>
            <w:r>
              <w:t xml:space="preserve">Ứng dụng tin học phục vụ công tác thanh tra thuế</w:t>
            </w:r>
          </w:p>
        </w:tc>
      </w:tr>
      <w:tr>
        <w:trPr>
          <w:jc w:val="left"/>
        </w:trPr>
        <w:tc>
          <w:tcPr>
            <w:tcW w:w="0" w:type="auto"/>
            <w:shd w:val="clear" w:color="auto" w:fill="auto"/>
            <w:vAlign w:val="center"/>
          </w:tcPr>
          <w:p>
            <w:pPr>
              <w:pStyle w:val="Normal(Web)"/>
              <w:divId w:val="86"/>
              <w:jc w:val="center"/>
              <w:rPr>
                <w:vanish w:val="0"/>
              </w:rPr>
            </w:pPr>
            <w:r>
              <w:t xml:space="preserve">-</w:t>
            </w:r>
          </w:p>
        </w:tc>
        <w:tc>
          <w:tcPr>
            <w:tcW w:w="0" w:type="auto"/>
            <w:shd w:val="clear" w:color="auto" w:fill="auto"/>
            <w:vAlign w:val="center"/>
          </w:tcPr>
          <w:p>
            <w:pPr>
              <w:pStyle w:val="Normal(Web)"/>
              <w:divId w:val="87"/>
              <w:rPr>
                <w:vanish w:val="0"/>
              </w:rPr>
            </w:pPr>
            <w:r>
              <w:t xml:space="preserve">Sử dụng ứng dụng TPR, TTR</w:t>
            </w:r>
          </w:p>
        </w:tc>
        <w:tc>
          <w:tcPr>
            <w:tcW w:w="0" w:type="auto"/>
            <w:gridSpan w:val="2"/>
            <w:shd w:val="clear" w:color="auto" w:fill="auto"/>
            <w:vAlign w:val="center"/>
          </w:tcPr>
          <w:p>
            <w:pPr>
              <w:pStyle w:val="Normal(Web)"/>
              <w:divId w:val="88"/>
              <w:jc w:val="center"/>
              <w:rPr>
                <w:vanish w:val="0"/>
              </w:rPr>
            </w:pPr>
            <w:r>
              <w:rPr>
                <w:b/>
              </w:rPr>
              <w:t xml:space="preserve">12</w:t>
            </w:r>
          </w:p>
        </w:tc>
        <w:tc>
          <w:tcPr>
            <w:tcW w:w="0" w:type="auto"/>
            <w:gridSpan w:val="2"/>
            <w:shd w:val="clear" w:color="auto" w:fill="auto"/>
            <w:vAlign w:val="center"/>
          </w:tcPr>
          <w:p>
            <w:pPr>
              <w:pStyle w:val="Normal(Web)"/>
              <w:divId w:val="89"/>
              <w:jc w:val="center"/>
              <w:rPr>
                <w:vanish w:val="0"/>
              </w:rPr>
            </w:pPr>
            <w:r>
              <w:t xml:space="preserve">8</w:t>
            </w:r>
          </w:p>
        </w:tc>
        <w:tc>
          <w:tcPr>
            <w:tcW w:w="0" w:type="auto"/>
            <w:gridSpan w:val="2"/>
            <w:shd w:val="clear" w:color="auto" w:fill="auto"/>
            <w:vAlign w:val="center"/>
          </w:tcPr>
          <w:p>
            <w:pPr>
              <w:pStyle w:val="Normal(Web)"/>
              <w:divId w:val="90"/>
              <w:jc w:val="center"/>
              <w:rPr>
                <w:vanish w:val="0"/>
              </w:rPr>
            </w:pPr>
            <w:r>
              <w:t xml:space="preserve">4</w:t>
            </w:r>
          </w:p>
        </w:tc>
      </w:tr>
      <w:tr>
        <w:trPr>
          <w:jc w:val="left"/>
        </w:trPr>
        <w:tc>
          <w:tcPr>
            <w:tcW w:w="0" w:type="auto"/>
            <w:shd w:val="clear" w:color="auto" w:fill="auto"/>
            <w:vAlign w:val="center"/>
          </w:tcPr>
          <w:p>
            <w:pPr>
              <w:pStyle w:val="Normal(Web)"/>
              <w:divId w:val="91"/>
              <w:jc w:val="center"/>
              <w:rPr>
                <w:vanish w:val="0"/>
              </w:rPr>
            </w:pPr>
            <w:r>
              <w:t xml:space="preserve">-</w:t>
            </w:r>
          </w:p>
        </w:tc>
        <w:tc>
          <w:tcPr>
            <w:tcW w:w="0" w:type="auto"/>
            <w:shd w:val="clear" w:color="auto" w:fill="auto"/>
            <w:vAlign w:val="center"/>
          </w:tcPr>
          <w:p>
            <w:pPr>
              <w:pStyle w:val="Normal(Web)"/>
              <w:divId w:val="92"/>
              <w:rPr>
                <w:vanish w:val="0"/>
              </w:rPr>
            </w:pPr>
            <w:r>
              <w:t xml:space="preserve">Sử dụng ứng dụng TPH, BCTC</w:t>
            </w:r>
          </w:p>
        </w:tc>
        <w:tc>
          <w:tcPr>
            <w:tcW w:w="0" w:type="auto"/>
            <w:gridSpan w:val="2"/>
            <w:shd w:val="clear" w:color="auto" w:fill="auto"/>
            <w:vAlign w:val="center"/>
          </w:tcPr>
          <w:p>
            <w:pPr>
              <w:pStyle w:val="Normal(Web)"/>
              <w:divId w:val="93"/>
              <w:jc w:val="center"/>
              <w:rPr>
                <w:vanish w:val="0"/>
              </w:rPr>
            </w:pPr>
            <w:r>
              <w:rPr>
                <w:b/>
              </w:rPr>
              <w:t xml:space="preserve">12</w:t>
            </w:r>
          </w:p>
        </w:tc>
        <w:tc>
          <w:tcPr>
            <w:tcW w:w="0" w:type="auto"/>
            <w:gridSpan w:val="2"/>
            <w:shd w:val="clear" w:color="auto" w:fill="auto"/>
            <w:vAlign w:val="center"/>
          </w:tcPr>
          <w:p>
            <w:pPr>
              <w:pStyle w:val="Normal(Web)"/>
              <w:divId w:val="94"/>
              <w:jc w:val="center"/>
              <w:rPr>
                <w:vanish w:val="0"/>
              </w:rPr>
            </w:pPr>
            <w:r>
              <w:t xml:space="preserve">8</w:t>
            </w:r>
          </w:p>
        </w:tc>
        <w:tc>
          <w:tcPr>
            <w:tcW w:w="0" w:type="auto"/>
            <w:gridSpan w:val="2"/>
            <w:shd w:val="clear" w:color="auto" w:fill="auto"/>
            <w:vAlign w:val="center"/>
          </w:tcPr>
          <w:p>
            <w:pPr>
              <w:pStyle w:val="Normal(Web)"/>
              <w:divId w:val="95"/>
              <w:jc w:val="center"/>
              <w:rPr>
                <w:vanish w:val="0"/>
              </w:rPr>
            </w:pPr>
            <w:r>
              <w:t xml:space="preserve">4</w:t>
            </w:r>
          </w:p>
        </w:tc>
      </w:tr>
      <w:tr>
        <w:trPr>
          <w:jc w:val="left"/>
        </w:trPr>
        <w:tc>
          <w:tcPr>
            <w:tcW w:w="0" w:type="auto"/>
            <w:hMerge w:val="restart"/>
            <w:shd w:val="clear" w:color="auto" w:fill="auto"/>
            <w:vAlign w:val="center"/>
          </w:tcPr>
          <w:p>
            <w:pPr>
              <w:pStyle w:val="Normal(Web)"/>
              <w:divId w:val="96"/>
              <w:jc w:val="center"/>
              <w:rPr>
                <w:vanish w:val="0"/>
              </w:rPr>
            </w:pPr>
            <w:r>
              <w:rPr>
                <w:b/>
              </w:rPr>
              <w:t xml:space="preserve">Tổng</w:t>
            </w:r>
          </w:p>
        </w:tc>
        <w:tc>
          <w:tcPr>
            <w:tcW w:w="0" w:type="auto"/>
            <w:hMerge/>
            <w:shd w:val="clear" w:color="auto" w:fill="auto"/>
            <w:vAlign w:val="center"/>
          </w:tcPr>
          <w:p>
            <w:pPr/>
          </w:p>
        </w:tc>
        <w:tc>
          <w:tcPr>
            <w:tcW w:w="0" w:type="auto"/>
            <w:gridSpan w:val="2"/>
            <w:shd w:val="clear" w:color="auto" w:fill="auto"/>
            <w:vAlign w:val="center"/>
          </w:tcPr>
          <w:p>
            <w:pPr>
              <w:pStyle w:val="Normal(Web)"/>
              <w:divId w:val="97"/>
              <w:jc w:val="center"/>
              <w:rPr>
                <w:vanish w:val="0"/>
              </w:rPr>
            </w:pPr>
            <w:r>
              <w:rPr>
                <w:b/>
              </w:rPr>
              <w:t xml:space="preserve">52</w:t>
            </w:r>
          </w:p>
        </w:tc>
        <w:tc>
          <w:tcPr>
            <w:tcW w:w="0" w:type="auto"/>
            <w:gridSpan w:val="2"/>
            <w:shd w:val="clear" w:color="auto" w:fill="auto"/>
            <w:vAlign w:val="center"/>
          </w:tcPr>
          <w:p>
            <w:pPr>
              <w:pStyle w:val="Normal(Web)"/>
              <w:divId w:val="98"/>
              <w:jc w:val="center"/>
              <w:rPr>
                <w:vanish w:val="0"/>
              </w:rPr>
            </w:pPr>
            <w:r>
              <w:rPr>
                <w:b/>
              </w:rPr>
              <w:t xml:space="preserve">36</w:t>
            </w:r>
          </w:p>
        </w:tc>
        <w:tc>
          <w:tcPr>
            <w:tcW w:w="0" w:type="auto"/>
            <w:gridSpan w:val="2"/>
            <w:shd w:val="clear" w:color="auto" w:fill="auto"/>
            <w:vAlign w:val="center"/>
          </w:tcPr>
          <w:p>
            <w:pPr>
              <w:pStyle w:val="Normal(Web)"/>
              <w:divId w:val="99"/>
              <w:jc w:val="center"/>
              <w:rPr>
                <w:vanish w:val="0"/>
              </w:rPr>
            </w:pPr>
            <w:r>
              <w:rPr>
                <w:b/>
              </w:rPr>
              <w:t xml:space="preserve">16</w:t>
            </w:r>
          </w:p>
        </w:tc>
      </w:tr>
    </w:tbl>
    <w:p>
      <w:pPr>
        <w:pStyle w:val="Normal(Web)"/>
        <w:divId w:val="100"/>
        <w:jc w:val="center"/>
        <w:rPr>
          <w:vanish w:val="0"/>
        </w:rPr>
      </w:pPr>
      <w:r>
        <w:rPr>
          <w:b/>
        </w:rPr>
        <w:t xml:space="preserve">Phần II</w:t>
      </w:r>
    </w:p>
    <w:p>
      <w:pPr>
        <w:pStyle w:val="Normal(Web)"/>
        <w:divId w:val="101"/>
        <w:jc w:val="center"/>
        <w:rPr>
          <w:vanish w:val="0"/>
        </w:rPr>
      </w:pPr>
      <w:r>
        <w:rPr>
          <w:b/>
        </w:rPr>
        <w:t xml:space="preserve">KỸ NĂNG THANH TRA THUẾ</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102"/>
              <w:jc w:val="center"/>
              <w:rPr>
                <w:vanish w:val="0"/>
              </w:rPr>
            </w:pPr>
            <w:r>
              <w:rPr>
                <w:b/>
              </w:rPr>
              <w:t xml:space="preserve">STT</w:t>
            </w:r>
          </w:p>
        </w:tc>
        <w:tc>
          <w:tcPr>
            <w:tcW w:w="0" w:type="auto"/>
            <w:vMerge w:val="restart"/>
            <w:shd w:val="clear" w:color="auto" w:fill="auto"/>
            <w:vAlign w:val="center"/>
          </w:tcPr>
          <w:p>
            <w:pPr>
              <w:pStyle w:val="Normal(Web)"/>
              <w:divId w:val="103"/>
              <w:jc w:val="center"/>
              <w:rPr>
                <w:vanish w:val="0"/>
              </w:rPr>
            </w:pPr>
            <w:r>
              <w:rPr>
                <w:b/>
              </w:rPr>
              <w:t xml:space="preserve">Tên chuyên đề</w:t>
            </w:r>
          </w:p>
        </w:tc>
        <w:tc>
          <w:tcPr>
            <w:tcW w:w="0" w:type="auto"/>
            <w:gridSpan w:val="2"/>
            <w:hMerge w:val="restart"/>
            <w:shd w:val="clear" w:color="auto" w:fill="auto"/>
            <w:vAlign w:val="center"/>
          </w:tcPr>
          <w:p>
            <w:pPr>
              <w:pStyle w:val="Normal(Web)"/>
              <w:divId w:val="104"/>
              <w:jc w:val="center"/>
              <w:rPr>
                <w:vanish w:val="0"/>
              </w:rPr>
            </w:pPr>
            <w:r>
              <w:rPr>
                <w:b/>
              </w:rPr>
              <w:t xml:space="preserve">Số tiết</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05"/>
              <w:jc w:val="center"/>
              <w:rPr>
                <w:vanish w:val="0"/>
              </w:rPr>
            </w:pPr>
            <w:r>
              <w:rPr>
                <w:b/>
              </w:rPr>
              <w:t xml:space="preserve">Tổng</w:t>
            </w:r>
          </w:p>
        </w:tc>
        <w:tc>
          <w:tcPr>
            <w:tcW w:w="0" w:type="auto"/>
            <w:gridSpan w:val="2"/>
            <w:shd w:val="clear" w:color="auto" w:fill="auto"/>
            <w:vAlign w:val="center"/>
          </w:tcPr>
          <w:p>
            <w:pPr>
              <w:pStyle w:val="Normal(Web)"/>
              <w:divId w:val="106"/>
              <w:jc w:val="center"/>
              <w:rPr>
                <w:vanish w:val="0"/>
              </w:rPr>
            </w:pPr>
            <w:r>
              <w:rPr>
                <w:b/>
              </w:rPr>
              <w:t xml:space="preserve">Lý thuyết</w:t>
            </w:r>
          </w:p>
        </w:tc>
        <w:tc>
          <w:tcPr>
            <w:tcW w:w="0" w:type="auto"/>
            <w:gridSpan w:val="2"/>
            <w:shd w:val="clear" w:color="auto" w:fill="auto"/>
            <w:vAlign w:val="center"/>
          </w:tcPr>
          <w:p>
            <w:pPr>
              <w:pStyle w:val="Normal(Web)"/>
              <w:divId w:val="107"/>
              <w:jc w:val="center"/>
              <w:rPr>
                <w:vanish w:val="0"/>
              </w:rPr>
            </w:pPr>
            <w:r>
              <w:rPr>
                <w:b/>
              </w:rPr>
              <w:t xml:space="preserve">Thảo luận, thực hành</w:t>
            </w:r>
          </w:p>
        </w:tc>
      </w:tr>
      <w:tr>
        <w:trPr>
          <w:jc w:val="left"/>
        </w:trPr>
        <w:tc>
          <w:tcPr>
            <w:tcW w:w="0" w:type="auto"/>
            <w:shd w:val="clear" w:color="auto" w:fill="auto"/>
            <w:vAlign w:val="center"/>
          </w:tcPr>
          <w:p>
            <w:pPr>
              <w:pStyle w:val="Normal(Web)"/>
              <w:divId w:val="108"/>
              <w:jc w:val="center"/>
              <w:rPr>
                <w:vanish w:val="0"/>
              </w:rPr>
            </w:pPr>
            <w:r>
              <w:t xml:space="preserve">1</w:t>
            </w:r>
          </w:p>
        </w:tc>
        <w:tc>
          <w:tcPr>
            <w:tcW w:w="0" w:type="auto"/>
            <w:shd w:val="clear" w:color="auto" w:fill="auto"/>
            <w:vAlign w:val="center"/>
          </w:tcPr>
          <w:p>
            <w:pPr>
              <w:pStyle w:val="Normal(Web)"/>
              <w:divId w:val="109"/>
              <w:rPr>
                <w:vanish w:val="0"/>
              </w:rPr>
            </w:pPr>
            <w:r>
              <w:t xml:space="preserve">Kỹ năng lập kế hoạch thanh tra</w:t>
            </w:r>
          </w:p>
        </w:tc>
        <w:tc>
          <w:tcPr>
            <w:tcW w:w="0" w:type="auto"/>
            <w:gridSpan w:val="2"/>
            <w:shd w:val="clear" w:color="auto" w:fill="auto"/>
            <w:vAlign w:val="center"/>
          </w:tcPr>
          <w:p>
            <w:pPr>
              <w:pStyle w:val="Normal(Web)"/>
              <w:divId w:val="110"/>
              <w:jc w:val="center"/>
              <w:rPr>
                <w:vanish w:val="0"/>
              </w:rPr>
            </w:pPr>
            <w:r>
              <w:rPr>
                <w:b/>
              </w:rPr>
              <w:t xml:space="preserve">8</w:t>
            </w:r>
          </w:p>
        </w:tc>
        <w:tc>
          <w:tcPr>
            <w:tcW w:w="0" w:type="auto"/>
            <w:gridSpan w:val="2"/>
            <w:shd w:val="clear" w:color="auto" w:fill="auto"/>
            <w:vAlign w:val="center"/>
          </w:tcPr>
          <w:p>
            <w:pPr>
              <w:pStyle w:val="Normal(Web)"/>
              <w:divId w:val="111"/>
              <w:jc w:val="center"/>
              <w:rPr>
                <w:vanish w:val="0"/>
              </w:rPr>
            </w:pPr>
            <w:r>
              <w:t xml:space="preserve">4</w:t>
            </w:r>
          </w:p>
        </w:tc>
        <w:tc>
          <w:tcPr>
            <w:tcW w:w="0" w:type="auto"/>
            <w:gridSpan w:val="2"/>
            <w:shd w:val="clear" w:color="auto" w:fill="auto"/>
            <w:vAlign w:val="center"/>
          </w:tcPr>
          <w:p>
            <w:pPr>
              <w:pStyle w:val="Normal(Web)"/>
              <w:divId w:val="112"/>
              <w:jc w:val="center"/>
              <w:rPr>
                <w:vanish w:val="0"/>
              </w:rPr>
            </w:pPr>
            <w:r>
              <w:t xml:space="preserve">4</w:t>
            </w:r>
          </w:p>
        </w:tc>
      </w:tr>
      <w:tr>
        <w:trPr>
          <w:jc w:val="left"/>
        </w:trPr>
        <w:tc>
          <w:tcPr>
            <w:tcW w:w="0" w:type="auto"/>
            <w:shd w:val="clear" w:color="auto" w:fill="auto"/>
            <w:vAlign w:val="center"/>
          </w:tcPr>
          <w:p>
            <w:pPr>
              <w:pStyle w:val="Normal(Web)"/>
              <w:divId w:val="113"/>
              <w:jc w:val="center"/>
              <w:rPr>
                <w:vanish w:val="0"/>
              </w:rPr>
            </w:pPr>
            <w:r>
              <w:t xml:space="preserve">2</w:t>
            </w:r>
          </w:p>
        </w:tc>
        <w:tc>
          <w:tcPr>
            <w:tcW w:w="0" w:type="auto"/>
            <w:shd w:val="clear" w:color="auto" w:fill="auto"/>
            <w:vAlign w:val="center"/>
          </w:tcPr>
          <w:p>
            <w:pPr>
              <w:pStyle w:val="Normal(Web)"/>
              <w:divId w:val="114"/>
              <w:rPr>
                <w:vanish w:val="0"/>
              </w:rPr>
            </w:pPr>
            <w:r>
              <w:t xml:space="preserve">Kỹ năng thanh tra tại trụ sở người nộp thuế</w:t>
            </w:r>
          </w:p>
        </w:tc>
        <w:tc>
          <w:tcPr>
            <w:tcW w:w="0" w:type="auto"/>
            <w:gridSpan w:val="2"/>
            <w:shd w:val="clear" w:color="auto" w:fill="auto"/>
            <w:vAlign w:val="center"/>
          </w:tcPr>
          <w:p>
            <w:pPr>
              <w:pStyle w:val="Normal(Web)"/>
              <w:divId w:val="115"/>
              <w:jc w:val="center"/>
              <w:rPr>
                <w:vanish w:val="0"/>
              </w:rPr>
            </w:pPr>
            <w:r>
              <w:rPr>
                <w:b/>
              </w:rPr>
              <w:t xml:space="preserve">12</w:t>
            </w:r>
          </w:p>
        </w:tc>
        <w:tc>
          <w:tcPr>
            <w:tcW w:w="0" w:type="auto"/>
            <w:gridSpan w:val="2"/>
            <w:shd w:val="clear" w:color="auto" w:fill="auto"/>
            <w:vAlign w:val="center"/>
          </w:tcPr>
          <w:p>
            <w:pPr>
              <w:pStyle w:val="Normal(Web)"/>
              <w:divId w:val="116"/>
              <w:jc w:val="center"/>
              <w:rPr>
                <w:vanish w:val="0"/>
              </w:rPr>
            </w:pPr>
            <w:r>
              <w:t xml:space="preserve">8</w:t>
            </w:r>
          </w:p>
        </w:tc>
        <w:tc>
          <w:tcPr>
            <w:tcW w:w="0" w:type="auto"/>
            <w:gridSpan w:val="2"/>
            <w:shd w:val="clear" w:color="auto" w:fill="auto"/>
            <w:vAlign w:val="center"/>
          </w:tcPr>
          <w:p>
            <w:pPr>
              <w:pStyle w:val="Normal(Web)"/>
              <w:divId w:val="117"/>
              <w:jc w:val="center"/>
              <w:rPr>
                <w:vanish w:val="0"/>
              </w:rPr>
            </w:pPr>
            <w:r>
              <w:t xml:space="preserve">4</w:t>
            </w:r>
          </w:p>
        </w:tc>
      </w:tr>
      <w:tr>
        <w:trPr>
          <w:jc w:val="left"/>
        </w:trPr>
        <w:tc>
          <w:tcPr>
            <w:tcW w:w="0" w:type="auto"/>
            <w:hMerge w:val="restart"/>
            <w:shd w:val="clear" w:color="auto" w:fill="auto"/>
            <w:vAlign w:val="center"/>
          </w:tcPr>
          <w:p>
            <w:pPr>
              <w:pStyle w:val="Normal(Web)"/>
              <w:divId w:val="118"/>
              <w:jc w:val="center"/>
              <w:rPr>
                <w:vanish w:val="0"/>
              </w:rPr>
            </w:pPr>
            <w:r>
              <w:rPr>
                <w:b/>
              </w:rPr>
              <w:t xml:space="preserve">Tổng</w:t>
            </w:r>
          </w:p>
        </w:tc>
        <w:tc>
          <w:tcPr>
            <w:tcW w:w="0" w:type="auto"/>
            <w:hMerge/>
            <w:shd w:val="clear" w:color="auto" w:fill="auto"/>
            <w:vAlign w:val="center"/>
          </w:tcPr>
          <w:p>
            <w:pPr/>
          </w:p>
        </w:tc>
        <w:tc>
          <w:tcPr>
            <w:tcW w:w="0" w:type="auto"/>
            <w:gridSpan w:val="2"/>
            <w:shd w:val="clear" w:color="auto" w:fill="auto"/>
            <w:vAlign w:val="center"/>
          </w:tcPr>
          <w:p>
            <w:pPr>
              <w:pStyle w:val="Normal(Web)"/>
              <w:divId w:val="119"/>
              <w:jc w:val="center"/>
              <w:rPr>
                <w:vanish w:val="0"/>
              </w:rPr>
            </w:pPr>
            <w:r>
              <w:rPr>
                <w:b/>
              </w:rPr>
              <w:t xml:space="preserve">20</w:t>
            </w:r>
          </w:p>
        </w:tc>
        <w:tc>
          <w:tcPr>
            <w:tcW w:w="0" w:type="auto"/>
            <w:gridSpan w:val="2"/>
            <w:shd w:val="clear" w:color="auto" w:fill="auto"/>
            <w:vAlign w:val="center"/>
          </w:tcPr>
          <w:p>
            <w:pPr>
              <w:pStyle w:val="Normal(Web)"/>
              <w:divId w:val="120"/>
              <w:jc w:val="center"/>
              <w:rPr>
                <w:vanish w:val="0"/>
              </w:rPr>
            </w:pPr>
            <w:r>
              <w:t xml:space="preserve">12</w:t>
            </w:r>
          </w:p>
        </w:tc>
        <w:tc>
          <w:tcPr>
            <w:tcW w:w="0" w:type="auto"/>
            <w:gridSpan w:val="2"/>
            <w:shd w:val="clear" w:color="auto" w:fill="auto"/>
            <w:vAlign w:val="center"/>
          </w:tcPr>
          <w:p>
            <w:pPr>
              <w:pStyle w:val="Normal(Web)"/>
              <w:divId w:val="121"/>
              <w:jc w:val="center"/>
              <w:rPr>
                <w:vanish w:val="0"/>
              </w:rPr>
            </w:pPr>
            <w:r>
              <w:t xml:space="preserve">8</w:t>
            </w:r>
          </w:p>
        </w:tc>
      </w:tr>
    </w:tbl>
    <w:p>
      <w:pPr>
        <w:pStyle w:val="Normal(Web)"/>
        <w:divId w:val="122"/>
        <w:jc w:val="center"/>
        <w:rPr>
          <w:vanish w:val="0"/>
        </w:rPr>
      </w:pPr>
      <w:r>
        <w:rPr>
          <w:b/>
        </w:rPr>
        <w:t xml:space="preserve">Phần III</w:t>
      </w:r>
    </w:p>
    <w:p>
      <w:pPr>
        <w:pStyle w:val="Normal(Web)"/>
        <w:divId w:val="123"/>
        <w:jc w:val="center"/>
        <w:rPr>
          <w:vanish w:val="0"/>
        </w:rPr>
      </w:pPr>
      <w:r>
        <w:rPr>
          <w:b/>
        </w:rPr>
        <w:t xml:space="preserve">CÁC HOẠT ĐỘNG KHÁC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124"/>
              <w:jc w:val="center"/>
              <w:rPr>
                <w:vanish w:val="0"/>
              </w:rPr>
            </w:pPr>
            <w:r>
              <w:rPr>
                <w:b/>
              </w:rPr>
              <w:t xml:space="preserve">STT</w:t>
            </w:r>
          </w:p>
        </w:tc>
        <w:tc>
          <w:tcPr>
            <w:tcW w:w="0" w:type="auto"/>
            <w:vMerge w:val="restart"/>
            <w:shd w:val="clear" w:color="auto" w:fill="auto"/>
            <w:vAlign w:val="center"/>
          </w:tcPr>
          <w:p>
            <w:pPr>
              <w:pStyle w:val="Normal(Web)"/>
              <w:divId w:val="125"/>
              <w:jc w:val="center"/>
              <w:rPr>
                <w:vanish w:val="0"/>
              </w:rPr>
            </w:pPr>
            <w:r>
              <w:rPr>
                <w:b/>
              </w:rPr>
              <w:t xml:space="preserve">Nội dung</w:t>
            </w:r>
          </w:p>
        </w:tc>
        <w:tc>
          <w:tcPr>
            <w:tcW w:w="0" w:type="auto"/>
            <w:gridSpan w:val="2"/>
            <w:hMerge w:val="restart"/>
            <w:shd w:val="clear" w:color="auto" w:fill="auto"/>
            <w:vAlign w:val="center"/>
          </w:tcPr>
          <w:p>
            <w:pPr>
              <w:pStyle w:val="Normal(Web)"/>
              <w:divId w:val="126"/>
              <w:jc w:val="center"/>
              <w:rPr>
                <w:vanish w:val="0"/>
              </w:rPr>
            </w:pPr>
            <w:r>
              <w:rPr>
                <w:b/>
              </w:rPr>
              <w:t xml:space="preserve">Số tiết</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27"/>
              <w:jc w:val="center"/>
              <w:rPr>
                <w:vanish w:val="0"/>
              </w:rPr>
            </w:pPr>
            <w:r>
              <w:rPr>
                <w:b/>
              </w:rPr>
              <w:t xml:space="preserve">Tổng</w:t>
            </w:r>
          </w:p>
        </w:tc>
        <w:tc>
          <w:tcPr>
            <w:tcW w:w="0" w:type="auto"/>
            <w:gridSpan w:val="2"/>
            <w:shd w:val="clear" w:color="auto" w:fill="auto"/>
            <w:vAlign w:val="center"/>
          </w:tcPr>
          <w:p>
            <w:pPr>
              <w:pStyle w:val="Normal(Web)"/>
              <w:divId w:val="128"/>
              <w:jc w:val="center"/>
              <w:rPr>
                <w:vanish w:val="0"/>
              </w:rPr>
            </w:pPr>
            <w:r>
              <w:rPr>
                <w:b/>
              </w:rPr>
              <w:t xml:space="preserve">Lý thuyết</w:t>
            </w:r>
          </w:p>
        </w:tc>
        <w:tc>
          <w:tcPr>
            <w:tcW w:w="0" w:type="auto"/>
            <w:gridSpan w:val="2"/>
            <w:shd w:val="clear" w:color="auto" w:fill="auto"/>
            <w:vAlign w:val="center"/>
          </w:tcPr>
          <w:p>
            <w:pPr>
              <w:pStyle w:val="Normal(Web)"/>
              <w:divId w:val="129"/>
              <w:jc w:val="center"/>
              <w:rPr>
                <w:vanish w:val="0"/>
              </w:rPr>
            </w:pPr>
            <w:r>
              <w:rPr>
                <w:b/>
              </w:rPr>
              <w:t xml:space="preserve">Thảo luận, thực hành</w:t>
            </w:r>
          </w:p>
        </w:tc>
      </w:tr>
      <w:tr>
        <w:trPr>
          <w:jc w:val="left"/>
        </w:trPr>
        <w:tc>
          <w:tcPr>
            <w:tcW w:w="0" w:type="auto"/>
            <w:shd w:val="clear" w:color="auto" w:fill="auto"/>
            <w:vAlign w:val="center"/>
          </w:tcPr>
          <w:p>
            <w:pPr>
              <w:pStyle w:val="Normal(Web)"/>
              <w:divId w:val="130"/>
              <w:jc w:val="center"/>
              <w:rPr>
                <w:vanish w:val="0"/>
              </w:rPr>
            </w:pPr>
            <w:r>
              <w:t xml:space="preserve">1</w:t>
            </w:r>
          </w:p>
        </w:tc>
        <w:tc>
          <w:tcPr>
            <w:tcW w:w="0" w:type="auto"/>
            <w:shd w:val="clear" w:color="auto" w:fill="auto"/>
            <w:vAlign w:val="center"/>
          </w:tcPr>
          <w:p>
            <w:pPr>
              <w:pStyle w:val="Normal(Web)"/>
              <w:divId w:val="131"/>
              <w:rPr>
                <w:vanish w:val="0"/>
              </w:rPr>
            </w:pPr>
            <w:r>
              <w:t xml:space="preserve">Ôn tập</w:t>
            </w:r>
          </w:p>
        </w:tc>
        <w:tc>
          <w:tcPr>
            <w:tcW w:w="0" w:type="auto"/>
            <w:gridSpan w:val="2"/>
            <w:shd w:val="clear" w:color="auto" w:fill="auto"/>
            <w:vAlign w:val="center"/>
          </w:tcPr>
          <w:p>
            <w:pPr>
              <w:pStyle w:val="Normal(Web)"/>
              <w:divId w:val="132"/>
              <w:jc w:val="center"/>
              <w:rPr>
                <w:vanish w:val="0"/>
              </w:rPr>
            </w:pPr>
            <w:r>
              <w:rPr>
                <w:b/>
              </w:rPr>
              <w:t xml:space="preserve">4</w:t>
            </w:r>
          </w:p>
        </w:tc>
        <w:tc>
          <w:tcPr>
            <w:tcW w:w="0" w:type="auto"/>
            <w:gridSpan w:val="2"/>
            <w:shd w:val="clear" w:color="auto" w:fill="auto"/>
            <w:vAlign w:val="center"/>
          </w:tcPr>
          <w:p>
            <w:pPr>
              <w:pStyle w:val="Normal(Web)"/>
              <w:divId w:val="133"/>
              <w:jc w:val="center"/>
              <w:rPr>
                <w:vanish w:val="0"/>
              </w:rPr>
            </w:pPr>
            <w:r>
              <w:t xml:space="preserve">4</w:t>
            </w:r>
          </w:p>
        </w:tc>
      </w:tr>
      <w:tr>
        <w:trPr>
          <w:jc w:val="left"/>
        </w:trPr>
        <w:tc>
          <w:tcPr>
            <w:tcW w:w="0" w:type="auto"/>
            <w:shd w:val="clear" w:color="auto" w:fill="auto"/>
            <w:vAlign w:val="center"/>
          </w:tcPr>
          <w:p>
            <w:pPr>
              <w:pStyle w:val="Normal(Web)"/>
              <w:divId w:val="134"/>
              <w:jc w:val="center"/>
              <w:rPr>
                <w:vanish w:val="0"/>
              </w:rPr>
            </w:pPr>
            <w:r>
              <w:t xml:space="preserve">2</w:t>
            </w:r>
          </w:p>
        </w:tc>
        <w:tc>
          <w:tcPr>
            <w:tcW w:w="0" w:type="auto"/>
            <w:shd w:val="clear" w:color="auto" w:fill="auto"/>
            <w:vAlign w:val="center"/>
          </w:tcPr>
          <w:p>
            <w:pPr>
              <w:pStyle w:val="Normal(Web)"/>
              <w:divId w:val="135"/>
              <w:rPr>
                <w:vanish w:val="0"/>
              </w:rPr>
            </w:pPr>
            <w:r>
              <w:t xml:space="preserve">Kiểm tra</w:t>
            </w:r>
          </w:p>
        </w:tc>
        <w:tc>
          <w:tcPr>
            <w:tcW w:w="0" w:type="auto"/>
            <w:gridSpan w:val="2"/>
            <w:shd w:val="clear" w:color="auto" w:fill="auto"/>
            <w:vAlign w:val="center"/>
          </w:tcPr>
          <w:p>
            <w:pPr>
              <w:pStyle w:val="Normal(Web)"/>
              <w:divId w:val="136"/>
              <w:jc w:val="center"/>
              <w:rPr>
                <w:vanish w:val="0"/>
              </w:rPr>
            </w:pPr>
            <w:r>
              <w:rPr>
                <w:b/>
              </w:rPr>
              <w:t xml:space="preserve">4</w:t>
            </w:r>
          </w:p>
        </w:tc>
        <w:tc>
          <w:tcPr>
            <w:tcW w:w="0" w:type="auto"/>
            <w:gridSpan w:val="2"/>
            <w:shd w:val="clear" w:color="auto" w:fill="auto"/>
            <w:vAlign w:val="center"/>
          </w:tcPr>
          <w:p>
            <w:pPr>
              <w:pStyle w:val="Normal(Web)"/>
              <w:divId w:val="137"/>
              <w:jc w:val="center"/>
              <w:rPr>
                <w:vanish w:val="0"/>
              </w:rPr>
            </w:pPr>
            <w:r>
              <w:t xml:space="preserve">4</w:t>
            </w:r>
          </w:p>
        </w:tc>
      </w:tr>
      <w:tr>
        <w:trPr>
          <w:jc w:val="left"/>
        </w:trPr>
        <w:tc>
          <w:tcPr>
            <w:tcW w:w="0" w:type="auto"/>
            <w:shd w:val="clear" w:color="auto" w:fill="auto"/>
            <w:vAlign w:val="center"/>
          </w:tcPr>
          <w:p>
            <w:pPr>
              <w:pStyle w:val="Normal(Web)"/>
              <w:divId w:val="138"/>
              <w:rPr>
                <w:vanish w:val="0"/>
              </w:rPr>
            </w:pPr>
            <w:r>
              <w:t xml:space="preserve">Khai giảng, bế giảng</w:t>
            </w:r>
          </w:p>
        </w:tc>
      </w:tr>
      <w:tr>
        <w:trPr>
          <w:jc w:val="left"/>
        </w:trPr>
        <w:tc>
          <w:tcPr>
            <w:tcW w:w="0" w:type="auto"/>
            <w:hMerge w:val="restart"/>
            <w:shd w:val="clear" w:color="auto" w:fill="auto"/>
            <w:vAlign w:val="center"/>
          </w:tcPr>
          <w:p>
            <w:pPr>
              <w:pStyle w:val="Normal(Web)"/>
              <w:divId w:val="139"/>
              <w:jc w:val="center"/>
              <w:rPr>
                <w:vanish w:val="0"/>
              </w:rPr>
            </w:pPr>
            <w:r>
              <w:rPr>
                <w:b/>
              </w:rPr>
              <w:t xml:space="preserve">Tổng</w:t>
            </w:r>
          </w:p>
        </w:tc>
        <w:tc>
          <w:tcPr>
            <w:tcW w:w="0" w:type="auto"/>
            <w:hMerge/>
            <w:shd w:val="clear" w:color="auto" w:fill="auto"/>
            <w:vAlign w:val="center"/>
          </w:tcPr>
          <w:p>
            <w:pPr/>
          </w:p>
        </w:tc>
        <w:tc>
          <w:tcPr>
            <w:tcW w:w="0" w:type="auto"/>
            <w:gridSpan w:val="2"/>
            <w:shd w:val="clear" w:color="auto" w:fill="auto"/>
            <w:vAlign w:val="center"/>
          </w:tcPr>
          <w:p>
            <w:pPr>
              <w:pStyle w:val="Normal(Web)"/>
              <w:divId w:val="140"/>
              <w:jc w:val="center"/>
              <w:rPr>
                <w:vanish w:val="0"/>
              </w:rPr>
            </w:pPr>
            <w:r>
              <w:rPr>
                <w:b/>
              </w:rPr>
              <w:t xml:space="preserve">8</w:t>
            </w:r>
          </w:p>
        </w:tc>
        <w:tc>
          <w:tcPr>
            <w:tcW w:w="0" w:type="auto"/>
            <w:gridSpan w:val="2"/>
            <w:shd w:val="clear" w:color="auto" w:fill="auto"/>
            <w:vAlign w:val="center"/>
          </w:tcPr>
          <w:p>
            <w:pPr>
              <w:pStyle w:val="Normal(Web)"/>
              <w:divId w:val="141"/>
              <w:jc w:val="center"/>
              <w:rPr>
                <w:vanish w:val="0"/>
              </w:rPr>
            </w:pPr>
            <w:r>
              <w:rPr>
                <w:b/>
              </w:rPr>
              <w:t xml:space="preserve">8</w:t>
            </w:r>
          </w:p>
        </w:tc>
      </w:tr>
    </w:tbl>
    <w:p>
      <w:pPr>
        <w:pStyle w:val="Normal(Web)"/>
        <w:divId w:val="142"/>
        <w:rPr>
          <w:vanish w:val="0"/>
        </w:rPr>
      </w:pPr>
      <w:r>
        <w:rPr>
          <w:b/>
        </w:rPr>
        <w:t xml:space="preserve">V. YÊU CẦU ĐỐI VỚI VIỆC BIÊN SOẠN, GIẢNG DẠY, HỌC TẬP CÁC CHUYÊN ĐỀ</w:t>
      </w:r>
    </w:p>
    <w:p>
      <w:pPr>
        <w:pStyle w:val="Normal(Web)"/>
        <w:divId w:val="143"/>
        <w:rPr>
          <w:vanish w:val="0"/>
        </w:rPr>
      </w:pPr>
      <w:r>
        <w:rPr>
          <w:b/>
        </w:rPr>
        <w:t xml:space="preserve">1. Đối </w:t>
      </w:r>
      <w:r>
        <w:rPr>
          <w:b/>
        </w:rPr>
        <w:t xml:space="preserve">với</w:t>
      </w:r>
      <w:r>
        <w:rPr>
          <w:b/>
        </w:rPr>
        <w:t xml:space="preserve"> </w:t>
      </w:r>
      <w:r>
        <w:rPr>
          <w:b/>
        </w:rPr>
        <w:t xml:space="preserve">việc</w:t>
      </w:r>
      <w:r>
        <w:rPr>
          <w:b/>
        </w:rPr>
        <w:t xml:space="preserve"> biên soạn</w:t>
      </w:r>
    </w:p>
    <w:p>
      <w:pPr>
        <w:pStyle w:val="Normal(Web)"/>
        <w:divId w:val="144"/>
        <w:rPr>
          <w:vanish w:val="0"/>
        </w:rPr>
      </w:pPr>
      <w:r>
        <w:t xml:space="preserve">- Chương trình bồi dưỡng tập trung trang bị những kiến thức, kỹ năng cơ bản phù hợp với tiêu chuẩn công chức được giao thực hiện thanh tra chuyên ngành Thuế.</w:t>
      </w:r>
    </w:p>
    <w:p>
      <w:pPr>
        <w:pStyle w:val="Normal(Web)"/>
        <w:divId w:val="145"/>
        <w:rPr>
          <w:vanish w:val="0"/>
        </w:rPr>
      </w:pPr>
      <w:r>
        <w:t xml:space="preserve">- Nội dung chương trình bồi dưỡng không chồng chéo và trùng lắp với các chương trình bồi dưỡng khác (chương trình bồi dưỡng theo tiêu chuẩn ngạch công chức, chương trình đào tạo, bồi dưỡng theo tiêu chuẩn chức danh lãnh đạo quản lý, chương trình bồi dưỡng kiến thức, kỹ năng chuyên ngành thuế). Các chuyên đề phải được bố cục logic, hài hòa về mặt kiến thức và thời lượng.</w:t>
      </w:r>
    </w:p>
    <w:p>
      <w:pPr>
        <w:pStyle w:val="Normal(Web)"/>
        <w:divId w:val="146"/>
        <w:rPr>
          <w:vanish w:val="0"/>
        </w:rPr>
      </w:pPr>
      <w:r>
        <w:t xml:space="preserve">- Các chuyên đề phải được biên soạn theo kết cấu mở để tạo điều kiện cho việc bổ sung, cập nhật những nội dung mới trong các văn bản quy phạm pháp luật cũng như kinh nghiệm thực tiễn trong công tác thanh tra thuế vào nội dung bài giảng.</w:t>
      </w:r>
    </w:p>
    <w:p>
      <w:pPr>
        <w:pStyle w:val="Normal(Web)"/>
        <w:divId w:val="147"/>
        <w:rPr>
          <w:vanish w:val="0"/>
        </w:rPr>
      </w:pPr>
      <w:r>
        <w:t xml:space="preserve">- Các chuyên đề cần có câu hỏi thảo luận, bài tập thực hành phù hợp với nghiệp vụ thanh tra thuế.</w:t>
      </w:r>
    </w:p>
    <w:p>
      <w:pPr>
        <w:pStyle w:val="Normal(Web)"/>
        <w:divId w:val="148"/>
        <w:rPr>
          <w:vanish w:val="0"/>
        </w:rPr>
      </w:pPr>
      <w:r>
        <w:rPr>
          <w:b/>
        </w:rPr>
        <w:t xml:space="preserve">2. Đối với việc giảng dạy</w:t>
      </w:r>
    </w:p>
    <w:p>
      <w:pPr>
        <w:pStyle w:val="Normal(Web)"/>
        <w:divId w:val="149"/>
        <w:rPr>
          <w:vanish w:val="0"/>
        </w:rPr>
      </w:pPr>
      <w:r>
        <w:rPr>
          <w:b/>
          <w:i/>
        </w:rPr>
        <w:t xml:space="preserve">2.1. Giảng viên</w:t>
      </w:r>
    </w:p>
    <w:p>
      <w:pPr>
        <w:pStyle w:val="Normal(Web)"/>
        <w:divId w:val="150"/>
        <w:rPr>
          <w:vanish w:val="0"/>
        </w:rPr>
      </w:pPr>
      <w:r>
        <w:t xml:space="preserve">- Giảng viên giảng dạy phải đạt tiêu chuẩn giảng viên theo quy định tại Thông tư liên tịch số 06/2011/TTLT-BNV-BGD &amp;ĐT ngày 06 tháng 06 năm 2011, đồng thời có kiến thức và nhiều kinh nghiệm về chính sách thuế, quản lý thuế, thanh tra thuế.</w:t>
      </w:r>
    </w:p>
    <w:p>
      <w:pPr>
        <w:pStyle w:val="Normal(Web)"/>
        <w:divId w:val="151"/>
        <w:rPr>
          <w:vanish w:val="0"/>
        </w:rPr>
      </w:pPr>
      <w:r>
        <w:t xml:space="preserve">- Giảng viên cần đầu tư nghiên cứu tài liệu, tập hợp các tình huống điển hình trong thực tiễn thanh tra thuế để bảo đảm chất lượng giảng dạy theo đúng nội dung chương trình, sát với nghiệp vụ thanh tra thuế.</w:t>
      </w:r>
    </w:p>
    <w:p>
      <w:pPr>
        <w:pStyle w:val="Normal(Web)"/>
        <w:divId w:val="152"/>
        <w:rPr>
          <w:vanish w:val="0"/>
        </w:rPr>
      </w:pPr>
      <w:r>
        <w:rPr>
          <w:b/>
          <w:i/>
        </w:rPr>
        <w:t xml:space="preserve">2.2. Phương pháp giảng dạy</w:t>
      </w:r>
    </w:p>
    <w:p>
      <w:pPr>
        <w:pStyle w:val="Normal(Web)"/>
        <w:divId w:val="153"/>
        <w:rPr>
          <w:vanish w:val="0"/>
        </w:rPr>
      </w:pPr>
      <w:r>
        <w:t xml:space="preserve">- Sử dụng phương pháp tích cực, lấy học viên làm trung tâm kết hợp với việc sử dụng công ng</w:t>
      </w:r>
      <w:r>
        <w:t xml:space="preserve">hệ thông tin</w:t>
      </w:r>
      <w:r>
        <w:t xml:space="preserve"> trong giảng dạy.</w:t>
      </w:r>
    </w:p>
    <w:p>
      <w:pPr>
        <w:pStyle w:val="Normal(Web)"/>
        <w:divId w:val="154"/>
        <w:rPr>
          <w:vanish w:val="0"/>
        </w:rPr>
      </w:pPr>
      <w:r>
        <w:t xml:space="preserve">- Kết hợp việc giảng dạy lý thuyết với thảo luận, hướng dẫn thực hành, có đúc rút bài học kinh nghiệm từ thực hành.</w:t>
      </w:r>
    </w:p>
    <w:p>
      <w:pPr>
        <w:pStyle w:val="Normal(Web)"/>
        <w:divId w:val="155"/>
        <w:rPr>
          <w:vanish w:val="0"/>
        </w:rPr>
      </w:pPr>
      <w:r>
        <w:rPr>
          <w:b/>
        </w:rPr>
        <w:t xml:space="preserve">3. Yêu cầu đối với </w:t>
      </w:r>
      <w:r>
        <w:rPr>
          <w:b/>
        </w:rPr>
        <w:t xml:space="preserve">việc</w:t>
      </w:r>
      <w:r>
        <w:rPr>
          <w:b/>
        </w:rPr>
        <w:t xml:space="preserve"> học tập của học viên</w:t>
      </w:r>
    </w:p>
    <w:p>
      <w:pPr>
        <w:pStyle w:val="Normal(Web)"/>
        <w:divId w:val="156"/>
        <w:rPr>
          <w:vanish w:val="0"/>
        </w:rPr>
      </w:pPr>
      <w:r>
        <w:t xml:space="preserve">- Hiểu rõ vị trí, chức trách, nhiệm vụ và những yêu cầu hiểu biết đối với công chức được giao thực hiện chức năng thanh tra chuyên ngành Thuế.</w:t>
      </w:r>
    </w:p>
    <w:p>
      <w:pPr>
        <w:pStyle w:val="Normal(Web)"/>
        <w:divId w:val="157"/>
        <w:rPr>
          <w:vanish w:val="0"/>
        </w:rPr>
      </w:pPr>
      <w:r>
        <w:t xml:space="preserve">- Kết thúc k</w:t>
      </w:r>
      <w:r>
        <w:t xml:space="preserve">hóa</w:t>
      </w:r>
      <w:r>
        <w:t xml:space="preserve"> học, học viên có khả năng vận dụng các kiến thức, kỹ năng được bồi dưỡng vào công việc được giao, góp phần nâng cao hiệu quả công tác.</w:t>
      </w:r>
    </w:p>
    <w:p>
      <w:pPr>
        <w:pStyle w:val="Normal(Web)"/>
        <w:divId w:val="158"/>
        <w:rPr>
          <w:vanish w:val="0"/>
        </w:rPr>
      </w:pPr>
      <w:r>
        <w:rPr>
          <w:b/>
        </w:rPr>
        <w:t xml:space="preserve">VI. YÊU CẦU ĐỐI VỚI VIỆC ĐÁNH GIÁ HỌC TẬP</w:t>
      </w:r>
    </w:p>
    <w:p>
      <w:pPr>
        <w:pStyle w:val="Normal(Web)"/>
        <w:divId w:val="159"/>
        <w:rPr>
          <w:vanish w:val="0"/>
        </w:rPr>
      </w:pPr>
      <w:r>
        <w:t xml:space="preserve">1. Đánh giá ý thức học tập của học viên theo quy chế học tập của cơ sở đào tạo, bồi dưỡng.</w:t>
      </w:r>
    </w:p>
    <w:p>
      <w:pPr>
        <w:pStyle w:val="Normal(Web)"/>
        <w:divId w:val="160"/>
        <w:rPr>
          <w:vanish w:val="0"/>
        </w:rPr>
      </w:pPr>
      <w:r>
        <w:t xml:space="preserve">2. Sau khi kết thúc học phần I, II, học viên ôn tập và làm bài kiểm tra viết, học viên nào không đạt được điểm 5 trở lên (theo thang điểm 10) thì phải kiểm tra lại. Trường hợp sau khi kiểm tra lại mà không đạt điểm 5 trở lên thì thực hiện học lại.</w:t>
      </w:r>
    </w:p>
    <w:p>
      <w:pPr>
        <w:pStyle w:val="Normal(Web)"/>
        <w:divId w:val="161"/>
        <w:rPr>
          <w:vanish w:val="0"/>
        </w:rPr>
      </w:pPr>
      <w:r>
        <w:rPr>
          <w:b/>
        </w:rPr>
        <w:t xml:space="preserve">VII. NỘI DUNG CÁC CHUYÊN ĐỀ</w:t>
      </w:r>
    </w:p>
    <w:p>
      <w:pPr>
        <w:pStyle w:val="Normal(Web)"/>
        <w:divId w:val="162"/>
        <w:jc w:val="center"/>
        <w:rPr>
          <w:vanish w:val="0"/>
        </w:rPr>
      </w:pPr>
      <w:r>
        <w:rPr>
          <w:b/>
        </w:rPr>
        <w:t xml:space="preserve">Phần I</w:t>
      </w:r>
    </w:p>
    <w:p>
      <w:pPr>
        <w:pStyle w:val="Normal(Web)"/>
        <w:divId w:val="163"/>
        <w:jc w:val="center"/>
        <w:rPr>
          <w:vanish w:val="0"/>
        </w:rPr>
      </w:pPr>
      <w:r>
        <w:rPr>
          <w:b/>
        </w:rPr>
        <w:t xml:space="preserve">KIẾN THỨC CƠ BẢN VỀ THANH TRA THUẾ</w:t>
      </w:r>
    </w:p>
    <w:p>
      <w:pPr>
        <w:pStyle w:val="Normal(Web)"/>
        <w:divId w:val="164"/>
        <w:rPr>
          <w:vanish w:val="0"/>
        </w:rPr>
      </w:pPr>
      <w:r>
        <w:rPr>
          <w:b/>
        </w:rPr>
        <w:t xml:space="preserve">Chuyên đề 1</w:t>
      </w:r>
    </w:p>
    <w:p>
      <w:pPr>
        <w:pStyle w:val="Normal(Web)"/>
        <w:divId w:val="165"/>
        <w:rPr>
          <w:vanish w:val="0"/>
        </w:rPr>
      </w:pPr>
      <w:r>
        <w:rPr>
          <w:b/>
        </w:rPr>
        <w:t xml:space="preserve">LUẬT THANH TRA VÀ CÁC VĂN BẢN HƯỚNG DẪN THI HÀNH</w:t>
      </w:r>
    </w:p>
    <w:p>
      <w:pPr>
        <w:pStyle w:val="Normal(Web)"/>
        <w:divId w:val="166"/>
        <w:rPr>
          <w:vanish w:val="0"/>
        </w:rPr>
      </w:pPr>
      <w:r>
        <w:rPr>
          <w:b/>
        </w:rPr>
        <w:t xml:space="preserve">1.1. Một số vấn đề chung về Luật Thanh tra</w:t>
      </w:r>
    </w:p>
    <w:p>
      <w:pPr>
        <w:pStyle w:val="Normal(Web)"/>
        <w:divId w:val="167"/>
        <w:rPr>
          <w:vanish w:val="0"/>
        </w:rPr>
      </w:pPr>
      <w:r>
        <w:t xml:space="preserve">- Phạm vi điều chỉnh</w:t>
      </w:r>
    </w:p>
    <w:p>
      <w:pPr>
        <w:pStyle w:val="Normal(Web)"/>
        <w:divId w:val="168"/>
        <w:rPr>
          <w:vanish w:val="0"/>
        </w:rPr>
      </w:pPr>
      <w:r>
        <w:t xml:space="preserve">- Kết cấu</w:t>
      </w:r>
    </w:p>
    <w:p>
      <w:pPr>
        <w:pStyle w:val="Normal(Web)"/>
        <w:divId w:val="169"/>
        <w:rPr>
          <w:vanish w:val="0"/>
        </w:rPr>
      </w:pPr>
      <w:r>
        <w:t xml:space="preserve">- Hệ thống văn bản hướng dẫn thi hành</w:t>
      </w:r>
    </w:p>
    <w:p>
      <w:pPr>
        <w:pStyle w:val="Normal(Web)"/>
        <w:divId w:val="170"/>
        <w:rPr>
          <w:vanish w:val="0"/>
        </w:rPr>
      </w:pPr>
      <w:r>
        <w:rPr>
          <w:b/>
        </w:rPr>
        <w:t xml:space="preserve">1.2. Nội dung cơ bản của Luật Thanh tra và các văn bản hướng dẫn thi hành</w:t>
      </w:r>
    </w:p>
    <w:p>
      <w:pPr>
        <w:pStyle w:val="Normal(Web)"/>
        <w:divId w:val="171"/>
        <w:rPr>
          <w:vanish w:val="0"/>
        </w:rPr>
      </w:pPr>
      <w:r>
        <w:t xml:space="preserve">1.2.1. Cơ cấu tổ chức, nhiệm vụ, quyền hạn của các cơ quan thanh tra</w:t>
      </w:r>
    </w:p>
    <w:p>
      <w:pPr>
        <w:pStyle w:val="Normal(Web)"/>
        <w:divId w:val="172"/>
        <w:rPr>
          <w:vanish w:val="0"/>
        </w:rPr>
      </w:pPr>
      <w:r>
        <w:t xml:space="preserve">1.2.2. Hoạt động của các cơ quan thanh tra:</w:t>
      </w:r>
    </w:p>
    <w:p>
      <w:pPr>
        <w:pStyle w:val="Normal(Web)"/>
        <w:divId w:val="173"/>
        <w:rPr>
          <w:vanish w:val="0"/>
        </w:rPr>
      </w:pPr>
      <w:r>
        <w:t xml:space="preserve">- Hoạt động thanh tra hành chính</w:t>
      </w:r>
    </w:p>
    <w:p>
      <w:pPr>
        <w:pStyle w:val="Normal(Web)"/>
        <w:divId w:val="174"/>
        <w:rPr>
          <w:vanish w:val="0"/>
        </w:rPr>
      </w:pPr>
      <w:r>
        <w:t xml:space="preserve">- Hoạt động thanh tra chuyên ngành</w:t>
      </w:r>
    </w:p>
    <w:p>
      <w:pPr>
        <w:pStyle w:val="Normal(Web)"/>
        <w:divId w:val="175"/>
        <w:rPr>
          <w:vanish w:val="0"/>
        </w:rPr>
      </w:pPr>
      <w:r>
        <w:t xml:space="preserve">- Quyền và nghĩa vụ của đối tượng thanh tra</w:t>
      </w:r>
    </w:p>
    <w:p>
      <w:pPr>
        <w:pStyle w:val="Normal(Web)"/>
        <w:divId w:val="176"/>
        <w:rPr>
          <w:vanish w:val="0"/>
        </w:rPr>
      </w:pPr>
      <w:r>
        <w:t xml:space="preserve">- Hồ sơ thanh tra, trách nhiệm của cơ quan điều tra</w:t>
      </w:r>
    </w:p>
    <w:p>
      <w:pPr>
        <w:pStyle w:val="Normal(Web)"/>
        <w:divId w:val="177"/>
        <w:rPr>
          <w:vanish w:val="0"/>
        </w:rPr>
      </w:pPr>
      <w:r>
        <w:t xml:space="preserve">1.2.3. Thanh tra viên, người được giao thực hiện nhiệm vụ thanh tra chuyên ngành, cộng tác viên thanh tra</w:t>
      </w:r>
    </w:p>
    <w:p>
      <w:pPr>
        <w:pStyle w:val="Normal(Web)"/>
        <w:divId w:val="178"/>
        <w:rPr>
          <w:vanish w:val="0"/>
        </w:rPr>
      </w:pPr>
      <w:r>
        <w:t xml:space="preserve">1.2.4. Thanh tra nhân dân</w:t>
      </w:r>
    </w:p>
    <w:p>
      <w:pPr>
        <w:pStyle w:val="Normal(Web)"/>
        <w:divId w:val="179"/>
        <w:rPr>
          <w:vanish w:val="0"/>
        </w:rPr>
      </w:pPr>
      <w:r>
        <w:rPr>
          <w:b/>
        </w:rPr>
        <w:t xml:space="preserve">Chuyên đề 2 </w:t>
      </w:r>
    </w:p>
    <w:p>
      <w:pPr>
        <w:pStyle w:val="Normal(Web)"/>
        <w:divId w:val="180"/>
        <w:rPr>
          <w:vanish w:val="0"/>
        </w:rPr>
      </w:pPr>
      <w:r>
        <w:rPr>
          <w:b/>
        </w:rPr>
        <w:t xml:space="preserve">QUY TRÌNH THANH TRA</w:t>
      </w:r>
    </w:p>
    <w:p>
      <w:pPr>
        <w:pStyle w:val="Normal(Web)"/>
        <w:divId w:val="181"/>
        <w:rPr>
          <w:vanish w:val="0"/>
        </w:rPr>
      </w:pPr>
      <w:r>
        <w:rPr>
          <w:b/>
        </w:rPr>
        <w:t xml:space="preserve">2.1. Những quy định chung</w:t>
      </w:r>
    </w:p>
    <w:p>
      <w:pPr>
        <w:pStyle w:val="Normal(Web)"/>
        <w:divId w:val="182"/>
        <w:rPr>
          <w:vanish w:val="0"/>
        </w:rPr>
      </w:pPr>
      <w:r>
        <w:t xml:space="preserve">- Phạm vi điều chỉnh</w:t>
      </w:r>
    </w:p>
    <w:p>
      <w:pPr>
        <w:pStyle w:val="Normal(Web)"/>
        <w:divId w:val="183"/>
        <w:rPr>
          <w:vanish w:val="0"/>
        </w:rPr>
      </w:pPr>
      <w:r>
        <w:t xml:space="preserve">- Đối tượng áp dụng</w:t>
      </w:r>
    </w:p>
    <w:p>
      <w:pPr>
        <w:pStyle w:val="Normal(Web)"/>
        <w:divId w:val="184"/>
        <w:rPr>
          <w:vanish w:val="0"/>
        </w:rPr>
      </w:pPr>
      <w:r>
        <w:t xml:space="preserve">- Giải thích từ ngữ</w:t>
      </w:r>
    </w:p>
    <w:p>
      <w:pPr>
        <w:pStyle w:val="Normal(Web)"/>
        <w:divId w:val="185"/>
        <w:rPr>
          <w:vanish w:val="0"/>
        </w:rPr>
      </w:pPr>
      <w:r>
        <w:rPr>
          <w:b/>
        </w:rPr>
        <w:t xml:space="preserve">2.2. Nội dung quy trình</w:t>
      </w:r>
    </w:p>
    <w:p>
      <w:pPr>
        <w:pStyle w:val="Normal(Web)"/>
        <w:divId w:val="186"/>
        <w:rPr>
          <w:vanish w:val="0"/>
        </w:rPr>
      </w:pPr>
      <w:r>
        <w:t xml:space="preserve">2.2.1. Xây dựng kế hoạch thanh tra năm</w:t>
      </w:r>
    </w:p>
    <w:p>
      <w:pPr>
        <w:pStyle w:val="Normal(Web)"/>
        <w:divId w:val="187"/>
        <w:rPr>
          <w:vanish w:val="0"/>
        </w:rPr>
      </w:pPr>
      <w:r>
        <w:t xml:space="preserve">- Chuẩn bị xây dựng kế hoạch thanh tra năm (tập hợp, khai thác thông tin dữ liệu về người nộp thuế; định hướng xây dựng kế hoạch thanh tra)</w:t>
      </w:r>
    </w:p>
    <w:p>
      <w:pPr>
        <w:pStyle w:val="Normal(Web)"/>
        <w:divId w:val="188"/>
        <w:rPr>
          <w:vanish w:val="0"/>
        </w:rPr>
      </w:pPr>
      <w:r>
        <w:t xml:space="preserve">- Xây dựng kế hoạch, duyệt kế hoạch thanh tra năm</w:t>
      </w:r>
    </w:p>
    <w:p>
      <w:pPr>
        <w:pStyle w:val="Normal(Web)"/>
        <w:divId w:val="189"/>
        <w:rPr>
          <w:vanish w:val="0"/>
        </w:rPr>
      </w:pPr>
      <w:r>
        <w:t xml:space="preserve">- Điều chỉnh kế hoạch thanh tra năm</w:t>
      </w:r>
    </w:p>
    <w:p>
      <w:pPr>
        <w:pStyle w:val="Normal(Web)"/>
        <w:divId w:val="190"/>
        <w:rPr>
          <w:vanish w:val="0"/>
        </w:rPr>
      </w:pPr>
      <w:r>
        <w:t xml:space="preserve">- Các trường hợp thanh tra đột xuất</w:t>
      </w:r>
    </w:p>
    <w:p>
      <w:pPr>
        <w:pStyle w:val="Normal(Web)"/>
        <w:divId w:val="191"/>
        <w:rPr>
          <w:vanish w:val="0"/>
        </w:rPr>
      </w:pPr>
      <w:r>
        <w:t xml:space="preserve">2.2.2. Thanh tra tại trụ sở người nộp thuế</w:t>
      </w:r>
    </w:p>
    <w:p>
      <w:pPr>
        <w:pStyle w:val="Normal(Web)"/>
        <w:divId w:val="192"/>
        <w:rPr>
          <w:vanish w:val="0"/>
        </w:rPr>
      </w:pPr>
      <w:r>
        <w:t xml:space="preserve">- Chuẩn bị và quyết định thanh tra</w:t>
      </w:r>
    </w:p>
    <w:p>
      <w:pPr>
        <w:pStyle w:val="Normal(Web)"/>
        <w:divId w:val="193"/>
        <w:rPr>
          <w:vanish w:val="0"/>
        </w:rPr>
      </w:pPr>
      <w:r>
        <w:t xml:space="preserve">- Tiến hành thanh tra</w:t>
      </w:r>
    </w:p>
    <w:p>
      <w:pPr>
        <w:pStyle w:val="Normal(Web)"/>
        <w:divId w:val="194"/>
        <w:rPr>
          <w:vanish w:val="0"/>
        </w:rPr>
      </w:pPr>
      <w:r>
        <w:t xml:space="preserve">- Kết thúc thanh tra</w:t>
      </w:r>
    </w:p>
    <w:p>
      <w:pPr>
        <w:pStyle w:val="Normal(Web)"/>
        <w:divId w:val="195"/>
        <w:rPr>
          <w:vanish w:val="0"/>
        </w:rPr>
      </w:pPr>
      <w:r>
        <w:t xml:space="preserve">- Các nội dung khác liên quan đến việc thực hiện thanh tra</w:t>
      </w:r>
    </w:p>
    <w:p>
      <w:pPr>
        <w:pStyle w:val="Normal(Web)"/>
        <w:divId w:val="196"/>
        <w:rPr>
          <w:vanish w:val="0"/>
        </w:rPr>
      </w:pPr>
      <w:r>
        <w:t xml:space="preserve">2.2.3. Nhập dữ liệu thanh tra và chế độ báo cáo</w:t>
      </w:r>
    </w:p>
    <w:p>
      <w:pPr>
        <w:pStyle w:val="Normal(Web)"/>
        <w:divId w:val="197"/>
        <w:rPr>
          <w:vanish w:val="0"/>
        </w:rPr>
      </w:pPr>
      <w:r>
        <w:t xml:space="preserve">- Nhập dữ liệu vào hệ thống</w:t>
      </w:r>
    </w:p>
    <w:p>
      <w:pPr>
        <w:pStyle w:val="Normal(Web)"/>
        <w:divId w:val="198"/>
        <w:rPr>
          <w:vanish w:val="0"/>
        </w:rPr>
      </w:pPr>
      <w:r>
        <w:t xml:space="preserve">- Chế độ báo cáo</w:t>
      </w:r>
    </w:p>
    <w:p>
      <w:pPr>
        <w:pStyle w:val="Normal(Web)"/>
        <w:divId w:val="199"/>
        <w:rPr>
          <w:vanish w:val="0"/>
        </w:rPr>
      </w:pPr>
      <w:r>
        <w:rPr>
          <w:b/>
        </w:rPr>
        <w:t xml:space="preserve">Chuyên đề 3</w:t>
      </w:r>
    </w:p>
    <w:p>
      <w:pPr>
        <w:pStyle w:val="Normal(Web)"/>
        <w:divId w:val="200"/>
        <w:rPr>
          <w:vanish w:val="0"/>
        </w:rPr>
      </w:pPr>
      <w:r>
        <w:rPr>
          <w:b/>
        </w:rPr>
        <w:t xml:space="preserve">PHÂN TÍCH BÁO CÁO TÀI CHÍNH XÁC ĐỊNH RỦI RO VỀ THUẾ CHO CÔNG TÁC THANH TRA THUẾ</w:t>
      </w:r>
    </w:p>
    <w:p>
      <w:pPr>
        <w:pStyle w:val="Normal(Web)"/>
        <w:divId w:val="201"/>
        <w:rPr>
          <w:vanish w:val="0"/>
        </w:rPr>
      </w:pPr>
      <w:r>
        <w:rPr>
          <w:b/>
        </w:rPr>
        <w:t xml:space="preserve">3.1. Tổng quan chung về Báo cáo tài chính</w:t>
      </w:r>
    </w:p>
    <w:p>
      <w:pPr>
        <w:pStyle w:val="Normal(Web)"/>
        <w:divId w:val="202"/>
        <w:rPr>
          <w:vanish w:val="0"/>
        </w:rPr>
      </w:pPr>
      <w:r>
        <w:rPr>
          <w:b/>
        </w:rPr>
        <w:t xml:space="preserve">3.2. Phân tích các biến động của các chỉ tiêu</w:t>
      </w:r>
    </w:p>
    <w:p>
      <w:pPr>
        <w:pStyle w:val="Normal(Web)"/>
        <w:divId w:val="203"/>
        <w:rPr>
          <w:vanish w:val="0"/>
        </w:rPr>
      </w:pPr>
      <w:r>
        <w:t xml:space="preserve">3.2.1. Phân tích, đánh giá các khoản mục trên bảng cân đối kế toán</w:t>
      </w:r>
    </w:p>
    <w:p>
      <w:pPr>
        <w:pStyle w:val="Normal(Web)"/>
        <w:divId w:val="204"/>
        <w:rPr>
          <w:vanish w:val="0"/>
        </w:rPr>
      </w:pPr>
      <w:r>
        <w:t xml:space="preserve">3.2.2. Phân tích, đánh giá các khoản mục trên báo cáo kết quả kinh doanh</w:t>
      </w:r>
    </w:p>
    <w:p>
      <w:pPr>
        <w:pStyle w:val="Normal(Web)"/>
        <w:divId w:val="205"/>
        <w:rPr>
          <w:vanish w:val="0"/>
        </w:rPr>
      </w:pPr>
      <w:r>
        <w:t xml:space="preserve">3.2.3. Phân tích, đánh giá các khoản mục trên bảng cân đối số phát sinh</w:t>
      </w:r>
    </w:p>
    <w:p>
      <w:pPr>
        <w:pStyle w:val="Normal(Web)"/>
        <w:divId w:val="206"/>
        <w:rPr>
          <w:vanish w:val="0"/>
        </w:rPr>
      </w:pPr>
      <w:r>
        <w:t xml:space="preserve">3.2.4. Phân tích, đánh giá các khoản mục trên báo cáo lưu chuyển tiền tệ</w:t>
      </w:r>
    </w:p>
    <w:p>
      <w:pPr>
        <w:pStyle w:val="Normal(Web)"/>
        <w:divId w:val="207"/>
        <w:rPr>
          <w:vanish w:val="0"/>
        </w:rPr>
      </w:pPr>
      <w:r>
        <w:t xml:space="preserve">3.2.5. Phân tích, đánh giá các khoản mục trên thuyết minh báo cáo tài chính</w:t>
      </w:r>
    </w:p>
    <w:p>
      <w:pPr>
        <w:pStyle w:val="Normal(Web)"/>
        <w:divId w:val="208"/>
        <w:rPr>
          <w:vanish w:val="0"/>
        </w:rPr>
      </w:pPr>
      <w:r>
        <w:t xml:space="preserve">3.2.6. Phân tích kiểm toán báo cáo độc lập</w:t>
      </w:r>
    </w:p>
    <w:p>
      <w:pPr>
        <w:pStyle w:val="Normal(Web)"/>
        <w:divId w:val="209"/>
        <w:rPr>
          <w:vanish w:val="0"/>
        </w:rPr>
      </w:pPr>
      <w:r>
        <w:rPr>
          <w:b/>
        </w:rPr>
        <w:t xml:space="preserve">3.3. Các phương pháp phân tích</w:t>
      </w:r>
    </w:p>
    <w:p>
      <w:pPr>
        <w:pStyle w:val="Normal(Web)"/>
        <w:divId w:val="210"/>
        <w:rPr>
          <w:vanish w:val="0"/>
        </w:rPr>
      </w:pPr>
      <w:r>
        <w:t xml:space="preserve">3.3.1. Phương pháp so sánh</w:t>
      </w:r>
    </w:p>
    <w:p>
      <w:pPr>
        <w:pStyle w:val="Normal(Web)"/>
        <w:divId w:val="211"/>
        <w:rPr>
          <w:vanish w:val="0"/>
        </w:rPr>
      </w:pPr>
      <w:r>
        <w:t xml:space="preserve">3.3.2. Phương pháp cân đối</w:t>
      </w:r>
    </w:p>
    <w:p>
      <w:pPr>
        <w:pStyle w:val="Normal(Web)"/>
        <w:divId w:val="212"/>
        <w:rPr>
          <w:vanish w:val="0"/>
        </w:rPr>
      </w:pPr>
      <w:r>
        <w:t xml:space="preserve">3.3.3. Phương pháp phân tích các nhân tố ảnh hưởng</w:t>
      </w:r>
    </w:p>
    <w:p>
      <w:pPr>
        <w:pStyle w:val="Normal(Web)"/>
        <w:divId w:val="213"/>
        <w:rPr>
          <w:vanish w:val="0"/>
        </w:rPr>
      </w:pPr>
      <w:r>
        <w:t xml:space="preserve">3.3.4. Phương pháp phân tích tỷ suất</w:t>
      </w:r>
    </w:p>
    <w:p>
      <w:pPr>
        <w:pStyle w:val="Normal(Web)"/>
        <w:divId w:val="214"/>
        <w:rPr>
          <w:vanish w:val="0"/>
        </w:rPr>
      </w:pPr>
      <w:r>
        <w:rPr>
          <w:b/>
        </w:rPr>
        <w:t xml:space="preserve">3.4. Sự khác biệt giữa Báo cáo tài chính và hồ sơ quyết toán thuế thu nhập doanh nghiệp</w:t>
      </w:r>
    </w:p>
    <w:p>
      <w:pPr>
        <w:pStyle w:val="Normal(Web)"/>
        <w:divId w:val="215"/>
        <w:rPr>
          <w:vanish w:val="0"/>
        </w:rPr>
      </w:pPr>
      <w:r>
        <w:t xml:space="preserve">3.4.1. Sự khác biệt về một số quy định chung</w:t>
      </w:r>
    </w:p>
    <w:p>
      <w:pPr>
        <w:pStyle w:val="Normal(Web)"/>
        <w:divId w:val="216"/>
        <w:rPr>
          <w:vanish w:val="0"/>
        </w:rPr>
      </w:pPr>
      <w:r>
        <w:t xml:space="preserve">3.4.2. Sự khác biệt về căn cứ pháp lý của các chỉ tiêu báo cáo</w:t>
      </w:r>
    </w:p>
    <w:p>
      <w:pPr>
        <w:pStyle w:val="Normal(Web)"/>
        <w:divId w:val="217"/>
        <w:rPr>
          <w:vanish w:val="0"/>
        </w:rPr>
      </w:pPr>
      <w:r>
        <w:t xml:space="preserve">3.4.3. Sự khác biệt về xác định lợi nhuận kế toán và thu nhập chịu thuế</w:t>
      </w:r>
    </w:p>
    <w:p>
      <w:pPr>
        <w:pStyle w:val="Normal(Web)"/>
        <w:divId w:val="218"/>
        <w:rPr>
          <w:vanish w:val="0"/>
        </w:rPr>
      </w:pPr>
      <w:r>
        <w:rPr>
          <w:b/>
        </w:rPr>
        <w:t xml:space="preserve">Chuyên đề 4</w:t>
      </w:r>
    </w:p>
    <w:p>
      <w:pPr>
        <w:pStyle w:val="Normal(Web)"/>
        <w:divId w:val="219"/>
        <w:rPr>
          <w:vanish w:val="0"/>
        </w:rPr>
      </w:pPr>
      <w:r>
        <w:rPr>
          <w:b/>
        </w:rPr>
        <w:t xml:space="preserve">XỬ LÝ VI PHẠM HÀNH CHÍNH TRONG CÔNG TÁC THANH TRA THUẾ</w:t>
      </w:r>
    </w:p>
    <w:p>
      <w:pPr>
        <w:pStyle w:val="Normal(Web)"/>
        <w:divId w:val="220"/>
        <w:rPr>
          <w:vanish w:val="0"/>
        </w:rPr>
      </w:pPr>
      <w:r>
        <w:rPr>
          <w:b/>
        </w:rPr>
        <w:t xml:space="preserve">4.1. Một số vấn đề cơ bản về xử phạt vi phạm hành chính trong lĩnh vực thuế</w:t>
      </w:r>
    </w:p>
    <w:p>
      <w:pPr>
        <w:pStyle w:val="Normal(Web)"/>
        <w:divId w:val="221"/>
        <w:rPr>
          <w:vanish w:val="0"/>
        </w:rPr>
      </w:pPr>
      <w:r>
        <w:t xml:space="preserve">4.1.1. Đối tượng bị xử phạt</w:t>
      </w:r>
    </w:p>
    <w:p>
      <w:pPr>
        <w:pStyle w:val="Normal(Web)"/>
        <w:divId w:val="222"/>
        <w:rPr>
          <w:vanish w:val="0"/>
        </w:rPr>
      </w:pPr>
      <w:r>
        <w:t xml:space="preserve">4.1.2. Hành vi vi phạm hành chính về thuế</w:t>
      </w:r>
    </w:p>
    <w:p>
      <w:pPr>
        <w:pStyle w:val="Normal(Web)"/>
        <w:divId w:val="223"/>
        <w:rPr>
          <w:vanish w:val="0"/>
        </w:rPr>
      </w:pPr>
      <w:r>
        <w:t xml:space="preserve">4.1.3. Nguyên tắc xử phạt</w:t>
      </w:r>
    </w:p>
    <w:p>
      <w:pPr>
        <w:pStyle w:val="Normal(Web)"/>
        <w:divId w:val="224"/>
        <w:rPr>
          <w:vanish w:val="0"/>
        </w:rPr>
      </w:pPr>
      <w:r>
        <w:t xml:space="preserve">4.1.4. Tình tiết tăng nặng, giảm nhẹ</w:t>
      </w:r>
    </w:p>
    <w:p>
      <w:pPr>
        <w:pStyle w:val="Normal(Web)"/>
        <w:divId w:val="225"/>
        <w:rPr>
          <w:vanish w:val="0"/>
        </w:rPr>
      </w:pPr>
      <w:r>
        <w:t xml:space="preserve">4.1.5. Thời hiệu xử phạt</w:t>
      </w:r>
    </w:p>
    <w:p>
      <w:pPr>
        <w:pStyle w:val="Normal(Web)"/>
        <w:divId w:val="226"/>
        <w:rPr>
          <w:vanish w:val="0"/>
        </w:rPr>
      </w:pPr>
      <w:r>
        <w:t xml:space="preserve">4.1.6. Các hình thức xử phạt</w:t>
      </w:r>
    </w:p>
    <w:p>
      <w:pPr>
        <w:pStyle w:val="Normal(Web)"/>
        <w:divId w:val="227"/>
        <w:rPr>
          <w:vanish w:val="0"/>
        </w:rPr>
      </w:pPr>
      <w:r>
        <w:rPr>
          <w:b/>
        </w:rPr>
        <w:t xml:space="preserve">4.2. Xử phạt vi phạm hành chính về thuế đối với người nộp thuế; Ngân hàng thương mại, Kho bạc nhà nước, tổ chức tín dụng khác, tổ chức, cá nhân có liên quan</w:t>
      </w:r>
    </w:p>
    <w:p>
      <w:pPr>
        <w:pStyle w:val="Normal(Web)"/>
        <w:divId w:val="228"/>
        <w:rPr>
          <w:vanish w:val="0"/>
        </w:rPr>
      </w:pPr>
      <w:r>
        <w:t xml:space="preserve">4.2.1. Xử phạt vi phạm hành chính về thuế </w:t>
      </w:r>
      <w:r>
        <w:t xml:space="preserve">đối với</w:t>
      </w:r>
      <w:r>
        <w:t xml:space="preserve"> người nộp thuế</w:t>
      </w:r>
    </w:p>
    <w:p>
      <w:pPr>
        <w:pStyle w:val="Normal(Web)"/>
        <w:divId w:val="229"/>
        <w:rPr>
          <w:vanish w:val="0"/>
        </w:rPr>
      </w:pPr>
      <w:r>
        <w:t xml:space="preserve">- Xử phạt đối với hành vi vi phạm thủ tục thuế</w:t>
      </w:r>
    </w:p>
    <w:p>
      <w:pPr>
        <w:pStyle w:val="Normal(Web)"/>
        <w:divId w:val="230"/>
        <w:rPr>
          <w:vanish w:val="0"/>
        </w:rPr>
      </w:pPr>
      <w:r>
        <w:t xml:space="preserve">- Xử phạt đối với hành vi khai sai dẫn đến thiếu số tiền thuế phải nộp hoặc tăng số tiền thuế được hoàn</w:t>
      </w:r>
    </w:p>
    <w:p>
      <w:pPr>
        <w:pStyle w:val="Normal(Web)"/>
        <w:divId w:val="231"/>
        <w:rPr>
          <w:vanish w:val="0"/>
        </w:rPr>
      </w:pPr>
      <w:r>
        <w:t xml:space="preserve">- Xử phạt đối với hành vi trốn thuế, gian lận thuế</w:t>
      </w:r>
    </w:p>
    <w:p>
      <w:pPr>
        <w:pStyle w:val="Normal(Web)"/>
        <w:divId w:val="232"/>
        <w:rPr>
          <w:vanish w:val="0"/>
        </w:rPr>
      </w:pPr>
      <w:r>
        <w:t xml:space="preserve">4.2.2. Xử phạt vi phạm hành chính về thuế đối với Ngân hàng thương mại, Kho bạc nhà nước, tổ chức tín dụng khác, tổ chức, cá nhân có liên quan</w:t>
      </w:r>
    </w:p>
    <w:p>
      <w:pPr>
        <w:pStyle w:val="Normal(Web)"/>
        <w:divId w:val="233"/>
        <w:rPr>
          <w:vanish w:val="0"/>
        </w:rPr>
      </w:pPr>
      <w:r>
        <w:t xml:space="preserve">- Đối với Ngân hàng thương mại, Kho bạc nhà nước, tổ chức tín dụng khác</w:t>
      </w:r>
    </w:p>
    <w:p>
      <w:pPr>
        <w:pStyle w:val="Normal(Web)"/>
        <w:divId w:val="234"/>
        <w:rPr>
          <w:vanish w:val="0"/>
        </w:rPr>
      </w:pPr>
      <w:r>
        <w:t xml:space="preserve">- Đối với tổ chức, cá nhân có liên quan</w:t>
      </w:r>
    </w:p>
    <w:p>
      <w:pPr>
        <w:pStyle w:val="Normal(Web)"/>
        <w:divId w:val="235"/>
        <w:rPr>
          <w:vanish w:val="0"/>
        </w:rPr>
      </w:pPr>
      <w:r>
        <w:rPr>
          <w:b/>
        </w:rPr>
        <w:t xml:space="preserve">4.3. Thẩm quyền xử phạt vi phạm hành chính về thuế</w:t>
      </w:r>
    </w:p>
    <w:p>
      <w:pPr>
        <w:pStyle w:val="Normal(Web)"/>
        <w:divId w:val="236"/>
        <w:rPr>
          <w:vanish w:val="0"/>
        </w:rPr>
      </w:pPr>
      <w:r>
        <w:t xml:space="preserve">- Công chức thuế đang thi hành công vụ</w:t>
      </w:r>
    </w:p>
    <w:p>
      <w:pPr>
        <w:pStyle w:val="Normal(Web)"/>
        <w:divId w:val="237"/>
        <w:rPr>
          <w:vanish w:val="0"/>
        </w:rPr>
      </w:pPr>
      <w:r>
        <w:t xml:space="preserve">- Đội trưởng Đội Thuế</w:t>
      </w:r>
    </w:p>
    <w:p>
      <w:pPr>
        <w:pStyle w:val="Normal(Web)"/>
        <w:divId w:val="238"/>
        <w:rPr>
          <w:vanish w:val="0"/>
        </w:rPr>
      </w:pPr>
      <w:r>
        <w:t xml:space="preserve">- Chi cục trưởng Chi cục Thuế</w:t>
      </w:r>
    </w:p>
    <w:p>
      <w:pPr>
        <w:pStyle w:val="Normal(Web)"/>
        <w:divId w:val="239"/>
        <w:rPr>
          <w:vanish w:val="0"/>
        </w:rPr>
      </w:pPr>
      <w:r>
        <w:t xml:space="preserve">- Cục trưởng Cục Thuế</w:t>
      </w:r>
    </w:p>
    <w:p>
      <w:pPr>
        <w:pStyle w:val="Normal(Web)"/>
        <w:divId w:val="240"/>
        <w:rPr>
          <w:vanish w:val="0"/>
        </w:rPr>
      </w:pPr>
      <w:r>
        <w:t xml:space="preserve">- Tổng cục trưởng Tổng cục Thuế</w:t>
      </w:r>
    </w:p>
    <w:p>
      <w:pPr>
        <w:pStyle w:val="Normal(Web)"/>
        <w:divId w:val="241"/>
        <w:rPr>
          <w:vanish w:val="0"/>
        </w:rPr>
      </w:pPr>
      <w:r>
        <w:rPr>
          <w:b/>
        </w:rPr>
        <w:t xml:space="preserve">4.4. Thủ tục xử phạt vi phạm hành chính về thuế</w:t>
      </w:r>
    </w:p>
    <w:p>
      <w:pPr>
        <w:pStyle w:val="Normal(Web)"/>
        <w:divId w:val="242"/>
        <w:rPr>
          <w:vanish w:val="0"/>
        </w:rPr>
      </w:pPr>
      <w:r>
        <w:t xml:space="preserve">- Buộc chấm dứt hành vi vi phạm hành chính về thuế</w:t>
      </w:r>
    </w:p>
    <w:p>
      <w:pPr>
        <w:pStyle w:val="Normal(Web)"/>
        <w:divId w:val="243"/>
        <w:rPr>
          <w:vanish w:val="0"/>
        </w:rPr>
      </w:pPr>
      <w:r>
        <w:t xml:space="preserve">- Xử phạt vi phạm hành chính về thuế không lập biên bản</w:t>
      </w:r>
    </w:p>
    <w:p>
      <w:pPr>
        <w:pStyle w:val="Normal(Web)"/>
        <w:divId w:val="244"/>
        <w:rPr>
          <w:vanish w:val="0"/>
        </w:rPr>
      </w:pPr>
      <w:r>
        <w:t xml:space="preserve">- Xử phạt vi phạm hành chính về thuế không có lập biên bản</w:t>
      </w:r>
    </w:p>
    <w:p>
      <w:pPr>
        <w:pStyle w:val="Normal(Web)"/>
        <w:divId w:val="245"/>
        <w:rPr>
          <w:vanish w:val="0"/>
        </w:rPr>
      </w:pPr>
      <w:r>
        <w:t xml:space="preserve">- Giải trình của người vi phạm hành chính về thuế</w:t>
      </w:r>
    </w:p>
    <w:p>
      <w:pPr>
        <w:pStyle w:val="Normal(Web)"/>
        <w:divId w:val="246"/>
        <w:rPr>
          <w:vanish w:val="0"/>
        </w:rPr>
      </w:pPr>
      <w:r>
        <w:t xml:space="preserve">- Chuyển hồ sơ của đối tượng vi phạm hành chính về thuế có dấu hiệu tội phạm để truy cứu trách nhiệm hình sự</w:t>
      </w:r>
    </w:p>
    <w:p>
      <w:pPr>
        <w:pStyle w:val="Normal(Web)"/>
        <w:divId w:val="247"/>
        <w:rPr>
          <w:vanish w:val="0"/>
        </w:rPr>
      </w:pPr>
      <w:r>
        <w:t xml:space="preserve">- Những trường hợp không ra quyết định xử phạt vi phạm hành chính về thuế</w:t>
      </w:r>
    </w:p>
    <w:p>
      <w:pPr>
        <w:pStyle w:val="Normal(Web)"/>
        <w:divId w:val="248"/>
        <w:rPr>
          <w:vanish w:val="0"/>
        </w:rPr>
      </w:pPr>
      <w:r>
        <w:t xml:space="preserve">- Thời hạn ra quyết định xử phạt vi phạm hành chính về thuế</w:t>
      </w:r>
    </w:p>
    <w:p>
      <w:pPr>
        <w:pStyle w:val="Normal(Web)"/>
        <w:divId w:val="249"/>
        <w:rPr>
          <w:vanish w:val="0"/>
        </w:rPr>
      </w:pPr>
      <w:r>
        <w:t xml:space="preserve">- Quyết định xử phạt vi phạm hành chính về thuế</w:t>
      </w:r>
    </w:p>
    <w:p>
      <w:pPr>
        <w:pStyle w:val="Normal(Web)"/>
        <w:divId w:val="250"/>
        <w:rPr>
          <w:vanish w:val="0"/>
        </w:rPr>
      </w:pPr>
      <w:r>
        <w:rPr>
          <w:b/>
        </w:rPr>
        <w:t xml:space="preserve">4.5. Thi hành quyết định xử phạt vi phạm hành chính về thuế</w:t>
      </w:r>
    </w:p>
    <w:p>
      <w:pPr>
        <w:pStyle w:val="Normal(Web)"/>
        <w:divId w:val="251"/>
        <w:rPr>
          <w:vanish w:val="0"/>
        </w:rPr>
      </w:pPr>
      <w:r>
        <w:t xml:space="preserve">- Thi hành quyết định xử phạt vi phạm hành chính về thuế không lập biên bản</w:t>
      </w:r>
    </w:p>
    <w:p>
      <w:pPr>
        <w:pStyle w:val="Normal(Web)"/>
        <w:divId w:val="252"/>
        <w:rPr>
          <w:vanish w:val="0"/>
        </w:rPr>
      </w:pPr>
      <w:r>
        <w:t xml:space="preserve">- Gửi quyết định xử phạt vi phạm hành chính về thuế để thi hành đối </w:t>
      </w:r>
      <w:r>
        <w:t xml:space="preserve">với</w:t>
      </w:r>
      <w:r>
        <w:t xml:space="preserve"> </w:t>
      </w:r>
      <w:r>
        <w:t xml:space="preserve">trường hợp</w:t>
      </w:r>
      <w:r>
        <w:t xml:space="preserve"> lập biên bản</w:t>
      </w:r>
    </w:p>
    <w:p>
      <w:pPr>
        <w:pStyle w:val="Normal(Web)"/>
        <w:divId w:val="253"/>
        <w:rPr>
          <w:vanish w:val="0"/>
        </w:rPr>
      </w:pPr>
      <w:r>
        <w:t xml:space="preserve">- Công bố công khai trên các phương tiện thông tin đại chúng việc xử phạt vi phạm hành chính về thuế của cá nhân, tổ chức vi phạm</w:t>
      </w:r>
    </w:p>
    <w:p>
      <w:pPr>
        <w:pStyle w:val="Normal(Web)"/>
        <w:divId w:val="254"/>
        <w:rPr>
          <w:vanish w:val="0"/>
        </w:rPr>
      </w:pPr>
      <w:r>
        <w:t xml:space="preserve">- Thi hành quyết định xử phạt vi phạm hành chính về thuế</w:t>
      </w:r>
    </w:p>
    <w:p>
      <w:pPr>
        <w:pStyle w:val="Normal(Web)"/>
        <w:divId w:val="255"/>
        <w:rPr>
          <w:vanish w:val="0"/>
        </w:rPr>
      </w:pPr>
      <w:r>
        <w:t xml:space="preserve">- Thi hành quyết định xử phạt vi phạm hành chính về thuế trong </w:t>
      </w:r>
      <w:r>
        <w:t xml:space="preserve">trường hợp</w:t>
      </w:r>
      <w:r>
        <w:t xml:space="preserve"> người bị xử phạt chết, mất tích; tổ chức bị xử phạt giải thể, phá sản</w:t>
      </w:r>
    </w:p>
    <w:p>
      <w:pPr>
        <w:pStyle w:val="Normal(Web)"/>
        <w:divId w:val="256"/>
        <w:rPr>
          <w:vanish w:val="0"/>
        </w:rPr>
      </w:pPr>
      <w:r>
        <w:t xml:space="preserve">- Miễn, giảm xử phạt; miễn, giảm tiền phạt vi phạm hành chính về thuế</w:t>
      </w:r>
    </w:p>
    <w:p>
      <w:pPr>
        <w:pStyle w:val="Normal(Web)"/>
        <w:divId w:val="257"/>
        <w:rPr>
          <w:vanish w:val="0"/>
        </w:rPr>
      </w:pPr>
      <w:r>
        <w:t xml:space="preserve">- Quyết định buộc khắc phục hậu quả trong trường hợp không ra quyết định xử phạt vi phạm hành chính về thuế</w:t>
      </w:r>
    </w:p>
    <w:p>
      <w:pPr>
        <w:pStyle w:val="Normal(Web)"/>
        <w:divId w:val="258"/>
        <w:rPr>
          <w:vanish w:val="0"/>
        </w:rPr>
      </w:pPr>
      <w:r>
        <w:t xml:space="preserve">- Chuyển quyết định xử phạt vi phạm hành chính về thuế, quyết định khắc phục hậu quả để thi hành</w:t>
      </w:r>
    </w:p>
    <w:p>
      <w:pPr>
        <w:pStyle w:val="Normal(Web)"/>
        <w:divId w:val="259"/>
        <w:rPr>
          <w:vanish w:val="0"/>
        </w:rPr>
      </w:pPr>
      <w:r>
        <w:t xml:space="preserve">- Xử lý đối với việc chậm nộp tiền phạt</w:t>
      </w:r>
    </w:p>
    <w:p>
      <w:pPr>
        <w:pStyle w:val="Normal(Web)"/>
        <w:divId w:val="260"/>
        <w:rPr>
          <w:vanish w:val="0"/>
        </w:rPr>
      </w:pPr>
      <w:r>
        <w:rPr>
          <w:b/>
        </w:rPr>
        <w:t xml:space="preserve">Chuyên đề 5</w:t>
      </w:r>
    </w:p>
    <w:p>
      <w:pPr>
        <w:pStyle w:val="Normal(Web)"/>
        <w:divId w:val="261"/>
        <w:rPr>
          <w:vanish w:val="0"/>
        </w:rPr>
      </w:pPr>
      <w:r>
        <w:rPr>
          <w:b/>
        </w:rPr>
        <w:t xml:space="preserve">ỨNG DỤNG TIN HỌC PHỤC VỤ CÔNG TÁC THANH TRA THUẾ</w:t>
      </w:r>
    </w:p>
    <w:p>
      <w:pPr>
        <w:pStyle w:val="Normal(Web)"/>
        <w:divId w:val="262"/>
        <w:rPr>
          <w:vanish w:val="0"/>
        </w:rPr>
      </w:pPr>
      <w:r>
        <w:rPr>
          <w:b/>
        </w:rPr>
        <w:t xml:space="preserve">5.1. Ứng dụng phân tích thông tin rủi ro người nộp thuế phục vụ công tác lập kế hoạch thanh tra thuế (TPR)</w:t>
      </w:r>
    </w:p>
    <w:p>
      <w:pPr>
        <w:pStyle w:val="Normal(Web)"/>
        <w:divId w:val="263"/>
        <w:rPr>
          <w:vanish w:val="0"/>
        </w:rPr>
      </w:pPr>
      <w:r>
        <w:t xml:space="preserve">- Hướng dẫn đăng nhập hệ thống</w:t>
      </w:r>
    </w:p>
    <w:p>
      <w:pPr>
        <w:pStyle w:val="Normal(Web)"/>
        <w:divId w:val="264"/>
        <w:rPr>
          <w:vanish w:val="0"/>
        </w:rPr>
      </w:pPr>
      <w:r>
        <w:t xml:space="preserve">- Hướng dẫn nghiệp vụ và sử dụng hệ thống</w:t>
      </w:r>
    </w:p>
    <w:p>
      <w:pPr>
        <w:pStyle w:val="Normal(Web)"/>
        <w:divId w:val="265"/>
        <w:rPr>
          <w:vanish w:val="0"/>
        </w:rPr>
      </w:pPr>
      <w:r>
        <w:rPr>
          <w:b/>
        </w:rPr>
        <w:t xml:space="preserve">5.2. Ứng dụng hỗ trợ thanh tra, kiểm tra (TTR)</w:t>
      </w:r>
    </w:p>
    <w:p>
      <w:pPr>
        <w:pStyle w:val="Normal(Web)"/>
        <w:divId w:val="266"/>
        <w:rPr>
          <w:vanish w:val="0"/>
        </w:rPr>
      </w:pPr>
      <w:r>
        <w:t xml:space="preserve">- Hướng dẫn đăng nhập hệ thống</w:t>
      </w:r>
    </w:p>
    <w:p>
      <w:pPr>
        <w:pStyle w:val="Normal(Web)"/>
        <w:divId w:val="267"/>
        <w:rPr>
          <w:vanish w:val="0"/>
        </w:rPr>
      </w:pPr>
      <w:r>
        <w:t xml:space="preserve">- Hướng dẫn nghiệp vụ và sử dụng hệ thống</w:t>
      </w:r>
    </w:p>
    <w:p>
      <w:pPr>
        <w:pStyle w:val="Normal(Web)"/>
        <w:divId w:val="268"/>
        <w:rPr>
          <w:vanish w:val="0"/>
        </w:rPr>
      </w:pPr>
      <w:r>
        <w:rPr>
          <w:b/>
        </w:rPr>
        <w:t xml:space="preserve">5.3. Ứng dụng tập trung dữ liệu và khai thác thông tin người nộp thuế (TPH)</w:t>
      </w:r>
    </w:p>
    <w:p>
      <w:pPr>
        <w:pStyle w:val="Normal(Web)"/>
        <w:divId w:val="269"/>
        <w:rPr>
          <w:vanish w:val="0"/>
        </w:rPr>
      </w:pPr>
      <w:r>
        <w:t xml:space="preserve">- Hướng dẫn đăng nhập hệ thống</w:t>
      </w:r>
    </w:p>
    <w:p>
      <w:pPr>
        <w:pStyle w:val="Normal(Web)"/>
        <w:divId w:val="270"/>
        <w:rPr>
          <w:vanish w:val="0"/>
        </w:rPr>
      </w:pPr>
      <w:r>
        <w:t xml:space="preserve">- Hướng dẫn sử dụng các chức năng của ứng dụng</w:t>
      </w:r>
    </w:p>
    <w:p>
      <w:pPr>
        <w:pStyle w:val="Normal(Web)"/>
        <w:divId w:val="271"/>
        <w:rPr>
          <w:vanish w:val="0"/>
        </w:rPr>
      </w:pPr>
      <w:r>
        <w:rPr>
          <w:b/>
        </w:rPr>
        <w:t xml:space="preserve">5.4. Ứng dụng Báo cáo tài chính (BCTC)</w:t>
      </w:r>
    </w:p>
    <w:p>
      <w:pPr>
        <w:pStyle w:val="Normal(Web)"/>
        <w:divId w:val="272"/>
        <w:rPr>
          <w:vanish w:val="0"/>
        </w:rPr>
      </w:pPr>
      <w:r>
        <w:t xml:space="preserve">- Hướng dẫn đăng nhập hệ thống</w:t>
      </w:r>
    </w:p>
    <w:p>
      <w:pPr>
        <w:pStyle w:val="Normal(Web)"/>
        <w:divId w:val="273"/>
        <w:rPr>
          <w:vanish w:val="0"/>
        </w:rPr>
      </w:pPr>
      <w:r>
        <w:t xml:space="preserve">- Hướng dẫn nghiệp vụ và sử dụng hệ thống</w:t>
      </w:r>
    </w:p>
    <w:p>
      <w:pPr>
        <w:pStyle w:val="Normal(Web)"/>
        <w:divId w:val="274"/>
        <w:jc w:val="center"/>
        <w:rPr>
          <w:vanish w:val="0"/>
        </w:rPr>
      </w:pPr>
      <w:r>
        <w:rPr>
          <w:b/>
        </w:rPr>
        <w:t xml:space="preserve">Phần II</w:t>
      </w:r>
    </w:p>
    <w:p>
      <w:pPr>
        <w:pStyle w:val="Normal(Web)"/>
        <w:divId w:val="275"/>
        <w:jc w:val="center"/>
        <w:rPr>
          <w:vanish w:val="0"/>
        </w:rPr>
      </w:pPr>
      <w:r>
        <w:rPr>
          <w:b/>
        </w:rPr>
        <w:t xml:space="preserve">KỸ NĂNG THANH TRA THUẾ</w:t>
      </w:r>
    </w:p>
    <w:p>
      <w:pPr>
        <w:pStyle w:val="Normal(Web)"/>
        <w:divId w:val="276"/>
        <w:rPr>
          <w:vanish w:val="0"/>
        </w:rPr>
      </w:pPr>
      <w:r>
        <w:rPr>
          <w:b/>
        </w:rPr>
        <w:t xml:space="preserve">Chuyên đề 6 </w:t>
      </w:r>
    </w:p>
    <w:p>
      <w:pPr>
        <w:pStyle w:val="Normal(Web)"/>
        <w:divId w:val="277"/>
        <w:rPr>
          <w:vanish w:val="0"/>
        </w:rPr>
      </w:pPr>
      <w:r>
        <w:rPr>
          <w:b/>
        </w:rPr>
        <w:t xml:space="preserve">KỸ NĂNG LẬP KẾ HOẠCH THANH TRA</w:t>
      </w:r>
    </w:p>
    <w:p>
      <w:pPr>
        <w:pStyle w:val="Normal(Web)"/>
        <w:divId w:val="278"/>
        <w:rPr>
          <w:vanish w:val="0"/>
        </w:rPr>
      </w:pPr>
      <w:r>
        <w:rPr>
          <w:b/>
        </w:rPr>
        <w:t xml:space="preserve">6.1. Thu thập thông tin ng</w:t>
      </w:r>
      <w:r>
        <w:rPr>
          <w:b/>
        </w:rPr>
        <w:t xml:space="preserve">ườ</w:t>
      </w:r>
      <w:r>
        <w:rPr>
          <w:b/>
        </w:rPr>
        <w:t xml:space="preserve">i nộp thuế</w:t>
      </w:r>
    </w:p>
    <w:p>
      <w:pPr>
        <w:pStyle w:val="Normal(Web)"/>
        <w:divId w:val="279"/>
        <w:rPr>
          <w:vanish w:val="0"/>
        </w:rPr>
      </w:pPr>
      <w:r>
        <w:t xml:space="preserve">6.1.1. Thu thập thông tin về người nộp thuế từ cơ sở dữ liệu ngành Thuế</w:t>
      </w:r>
    </w:p>
    <w:p>
      <w:pPr>
        <w:pStyle w:val="Normal(Web)"/>
        <w:divId w:val="280"/>
        <w:rPr>
          <w:vanish w:val="0"/>
        </w:rPr>
      </w:pPr>
      <w:r>
        <w:t xml:space="preserve">6.1.2. Thu thập, khai thác thông tin dữ liệu về người nộp thuế từ các nguồn thông tin bên ngoài</w:t>
      </w:r>
    </w:p>
    <w:p>
      <w:pPr>
        <w:pStyle w:val="Normal(Web)"/>
        <w:divId w:val="281"/>
        <w:rPr>
          <w:vanish w:val="0"/>
        </w:rPr>
      </w:pPr>
      <w:r>
        <w:t xml:space="preserve">6.1.3. Đánh giá dữ liệu và làm sạch dữ liệu</w:t>
      </w:r>
    </w:p>
    <w:p>
      <w:pPr>
        <w:pStyle w:val="Normal(Web)"/>
        <w:divId w:val="282"/>
        <w:rPr>
          <w:vanish w:val="0"/>
        </w:rPr>
      </w:pPr>
      <w:r>
        <w:rPr>
          <w:b/>
        </w:rPr>
        <w:t xml:space="preserve">6.2. Xây dựng bộ tiêu chí</w:t>
      </w:r>
    </w:p>
    <w:p>
      <w:pPr>
        <w:pStyle w:val="Normal(Web)"/>
        <w:divId w:val="283"/>
        <w:rPr>
          <w:vanish w:val="0"/>
        </w:rPr>
      </w:pPr>
      <w:r>
        <w:t xml:space="preserve">6.2.1. Thiết lập tiêu chí</w:t>
      </w:r>
    </w:p>
    <w:p>
      <w:pPr>
        <w:pStyle w:val="Normal(Web)"/>
        <w:divId w:val="284"/>
        <w:rPr>
          <w:vanish w:val="0"/>
        </w:rPr>
      </w:pPr>
      <w:r>
        <w:t xml:space="preserve">6.2.2. Thử nghiệm bộ tiêu chí</w:t>
      </w:r>
    </w:p>
    <w:p>
      <w:pPr>
        <w:pStyle w:val="Normal(Web)"/>
        <w:divId w:val="285"/>
        <w:rPr>
          <w:vanish w:val="0"/>
        </w:rPr>
      </w:pPr>
      <w:r>
        <w:t xml:space="preserve">6.2.3. Xây dựng bộ tiêu chí chính thức và phê duyệt</w:t>
      </w:r>
    </w:p>
    <w:p>
      <w:pPr>
        <w:pStyle w:val="Normal(Web)"/>
        <w:divId w:val="286"/>
        <w:rPr>
          <w:vanish w:val="0"/>
        </w:rPr>
      </w:pPr>
      <w:r>
        <w:t xml:space="preserve">6.2.4. Tính điểm rủi ro</w:t>
      </w:r>
    </w:p>
    <w:p>
      <w:pPr>
        <w:pStyle w:val="Normal(Web)"/>
        <w:divId w:val="287"/>
        <w:rPr>
          <w:vanish w:val="0"/>
        </w:rPr>
      </w:pPr>
      <w:r>
        <w:t xml:space="preserve">6.2.5. Phân ngưỡng phân loại quy mô doanh nghiệp </w:t>
      </w:r>
    </w:p>
    <w:p>
      <w:pPr>
        <w:pStyle w:val="Normal(Web)"/>
        <w:divId w:val="288"/>
        <w:rPr>
          <w:vanish w:val="0"/>
        </w:rPr>
      </w:pPr>
      <w:r>
        <w:rPr>
          <w:b/>
        </w:rPr>
        <w:t xml:space="preserve">6.3. Lập kế hoạch</w:t>
      </w:r>
    </w:p>
    <w:p>
      <w:pPr>
        <w:pStyle w:val="Normal(Web)"/>
        <w:divId w:val="289"/>
        <w:rPr>
          <w:vanish w:val="0"/>
        </w:rPr>
      </w:pPr>
      <w:r>
        <w:t xml:space="preserve">6.3.1. Lập kế hoạch thanh tra thuế năm</w:t>
      </w:r>
    </w:p>
    <w:p>
      <w:pPr>
        <w:pStyle w:val="Normal(Web)"/>
        <w:divId w:val="290"/>
        <w:rPr>
          <w:vanish w:val="0"/>
        </w:rPr>
      </w:pPr>
      <w:r>
        <w:t xml:space="preserve">6.3.2. Điều chỉnh, bổ sung kế hoạch thanh tra</w:t>
      </w:r>
    </w:p>
    <w:p>
      <w:pPr>
        <w:pStyle w:val="Normal(Web)"/>
        <w:divId w:val="291"/>
        <w:rPr>
          <w:vanish w:val="0"/>
        </w:rPr>
      </w:pPr>
      <w:r>
        <w:t xml:space="preserve">6.3.3. Đánh giá bộ tiêu chí sau khi thực hiện thanh tra thuế</w:t>
      </w:r>
    </w:p>
    <w:p>
      <w:pPr>
        <w:pStyle w:val="Normal(Web)"/>
        <w:divId w:val="292"/>
        <w:rPr>
          <w:vanish w:val="0"/>
        </w:rPr>
      </w:pPr>
      <w:r>
        <w:rPr>
          <w:b/>
        </w:rPr>
        <w:t xml:space="preserve">Chuyên đề 7</w:t>
      </w:r>
    </w:p>
    <w:p>
      <w:pPr>
        <w:pStyle w:val="Normal(Web)"/>
        <w:divId w:val="293"/>
        <w:rPr>
          <w:vanish w:val="0"/>
        </w:rPr>
      </w:pPr>
      <w:r>
        <w:rPr>
          <w:b/>
        </w:rPr>
        <w:t xml:space="preserve">KỸ NĂNG THANH TRA TẠI TRỤ SỞ NGƯỜI NỘP THUẾ</w:t>
      </w:r>
    </w:p>
    <w:p>
      <w:pPr>
        <w:pStyle w:val="Normal(Web)"/>
        <w:divId w:val="294"/>
        <w:rPr>
          <w:vanish w:val="0"/>
        </w:rPr>
      </w:pPr>
      <w:r>
        <w:rPr>
          <w:b/>
        </w:rPr>
        <w:t xml:space="preserve">7.1. Kỹ năng thu thập tài liệu liên quan đến công tác thanh tra tại trụ sở người nộp thuế</w:t>
      </w:r>
    </w:p>
    <w:p>
      <w:pPr>
        <w:pStyle w:val="Normal(Web)"/>
        <w:divId w:val="295"/>
        <w:rPr>
          <w:vanish w:val="0"/>
        </w:rPr>
      </w:pPr>
      <w:r>
        <w:rPr>
          <w:b/>
        </w:rPr>
        <w:t xml:space="preserve">7.2. Kỹ năng quan sát, phỏng vấn người nộp thuế trong công tác thanh tra tại trụ sở người nộp thuế</w:t>
      </w:r>
    </w:p>
    <w:p>
      <w:pPr>
        <w:pStyle w:val="Normal(Web)"/>
        <w:divId w:val="296"/>
        <w:rPr>
          <w:vanish w:val="0"/>
        </w:rPr>
      </w:pPr>
      <w:r>
        <w:rPr>
          <w:b/>
        </w:rPr>
        <w:t xml:space="preserve">7.3. Kỹ năng phân tích, đánh giá rủi ro trọng yếu công tác thanh tra tại trụ sở người nộp thuế</w:t>
      </w:r>
    </w:p>
    <w:p>
      <w:pPr>
        <w:pStyle w:val="Normal(Web)"/>
        <w:divId w:val="297"/>
        <w:rPr>
          <w:vanish w:val="0"/>
        </w:rPr>
      </w:pPr>
      <w:r>
        <w:rPr>
          <w:b/>
        </w:rPr>
        <w:t xml:space="preserve">7.4. Kỹ năng thanh tra theo từng sắc thuế tại trụ sở người nộp thuế</w:t>
      </w:r>
    </w:p>
    <w:p>
      <w:pPr>
        <w:pStyle w:val="Normal(Web)"/>
        <w:divId w:val="298"/>
        <w:rPr>
          <w:vanish w:val="0"/>
        </w:rPr>
      </w:pPr>
      <w:r>
        <w:t xml:space="preserve">7.4.1. Kỹ năng thanh tra hồ sơ khai thuế giá trị gia tăng</w:t>
      </w:r>
    </w:p>
    <w:p>
      <w:pPr>
        <w:pStyle w:val="Normal(Web)"/>
        <w:divId w:val="299"/>
        <w:rPr>
          <w:vanish w:val="0"/>
        </w:rPr>
      </w:pPr>
      <w:r>
        <w:t xml:space="preserve">7.4.2. Kỹ năng thanh tra hồ sơ khai thuế thu nhập doanh nghiệp</w:t>
      </w:r>
    </w:p>
    <w:p>
      <w:pPr>
        <w:pStyle w:val="Normal(Web)"/>
        <w:divId w:val="300"/>
        <w:rPr>
          <w:vanish w:val="0"/>
        </w:rPr>
      </w:pPr>
      <w:r>
        <w:t xml:space="preserve">7.4.3. Kỹ năng thanh tra hồ sơ khai thuế thu nhập cá nhân</w:t>
      </w:r>
    </w:p>
    <w:p>
      <w:pPr>
        <w:pStyle w:val="Normal(Web)"/>
        <w:divId w:val="301"/>
        <w:rPr>
          <w:vanish w:val="0"/>
        </w:rPr>
      </w:pPr>
      <w:r>
        <w:t xml:space="preserve">7.4.4. Kỹ năng thanh tra hồ sơ khai thuế nhà thầu</w:t>
      </w:r>
    </w:p>
    <w:p>
      <w:pPr>
        <w:pStyle w:val="Normal(Web)"/>
        <w:divId w:val="302"/>
        <w:rPr>
          <w:vanish w:val="0"/>
        </w:rPr>
      </w:pPr>
      <w:r>
        <w:t xml:space="preserve">7.4.5. Kỹ năng thanh tra hồ sơ khai thuế tài nguyên</w:t>
      </w:r>
    </w:p>
    <w:p>
      <w:pPr>
        <w:pStyle w:val="Normal(Web)"/>
        <w:divId w:val="303"/>
        <w:rPr>
          <w:vanish w:val="0"/>
        </w:rPr>
      </w:pPr>
      <w:r>
        <w:rPr>
          <w:b/>
        </w:rPr>
        <w:t xml:space="preserve">7.5. Kỹ năng thanh tra theo ngành sản xuất - thương mại - dịch vụ</w:t>
      </w:r>
    </w:p>
    <w:p>
      <w:pPr>
        <w:pStyle w:val="Normal(Web)"/>
        <w:divId w:val="304"/>
        <w:rPr>
          <w:vanish w:val="0"/>
        </w:rPr>
      </w:pPr>
      <w:r>
        <w:t xml:space="preserve">7.5.1. Kỹ năng thanh tra theo ngành sản xuất</w:t>
      </w:r>
    </w:p>
    <w:p>
      <w:pPr>
        <w:pStyle w:val="Normal(Web)"/>
        <w:divId w:val="305"/>
        <w:rPr>
          <w:vanish w:val="0"/>
        </w:rPr>
      </w:pPr>
      <w:r>
        <w:t xml:space="preserve">7.5.2. Kỹ năng thanh tra theo ngành thương mại</w:t>
      </w:r>
    </w:p>
    <w:p>
      <w:pPr>
        <w:pStyle w:val="Normal(Web)"/>
        <w:divId w:val="306"/>
        <w:rPr>
          <w:vanish w:val="0"/>
        </w:rPr>
      </w:pPr>
      <w:r>
        <w:t xml:space="preserve">7.5.3. Kỹ năng thanh tra theo ngành dịch vụ</w:t>
      </w:r>
    </w:p>
    <w:p>
      <w:pPr>
        <w:pStyle w:val="Normal(Web)"/>
        <w:divId w:val="307"/>
        <w:rPr>
          <w:vanish w:val="0"/>
        </w:rPr>
      </w:pPr>
      <w:r>
        <w:t xml:space="preserve">7.5.4. Kỹ năng lập biên bản xử lý vi phạm</w:t>
      </w:r>
    </w:p>
    <w:p>
      <w:pPr>
        <w:pStyle w:val="Normal(Web)"/>
        <w:divId w:val="308"/>
        <w:rPr>
          <w:vanish w:val="0"/>
        </w:rPr>
      </w:pPr>
      <w:r>
        <w:t xml:space="preserve">7.5.5. Kỹ năng lập biên bản tại trụ sở người nộp thuế</w:t>
      </w:r>
    </w:p>
    <w:p>
      <w:pPr>
        <w:pStyle w:val="Normal(Web)"/>
        <w:divId w:val="309"/>
        <w:rPr>
          <w:vanish w:val="0"/>
        </w:rPr>
      </w:pPr>
      <w:r>
        <w:t xml:space="preserve">7.5.6. Kỹ năng xử lý trong trường hợp người nộp thuế không ký lập biên bản thanh tra tại trụ sở người nộp thuế</w:t>
      </w:r>
    </w:p>
    <w:p>
      <w:pPr>
        <w:pStyle w:val="Normal(Web)"/>
        <w:divId w:val="310"/>
        <w:rPr>
          <w:vanish w:val="0"/>
        </w:rPr>
      </w:pPr>
      <w:r>
        <w:t xml:space="preserve">7.5.7. Kỹ năng báo cáo, lập dự thảo ban hành kết luận, Quyết định xử lý sau khi kết thúc thanh tra tại trụ sở người nộp thuế</w:t>
      </w:r>
    </w:p>
    <w:p>
      <w:pPr>
        <w:pStyle w:val="Normal(Web)"/>
        <w:divId w:val="311"/>
        <w:rPr>
          <w:vanish w:val="0"/>
        </w:rPr>
      </w:pPr>
      <w:r>
        <w:t xml:space="preserve">7.5.8. Phân tích, so sánh, đánh giá, các rủi ro qua thanh tra tại trụ sở người nộp thuế </w:t>
      </w:r>
      <w:r>
        <w:t xml:space="preserve">với</w:t>
      </w:r>
      <w:r>
        <w:t xml:space="preserve"> rủi ro lập kế hoạch thanh tra, kiểm tra</w:t>
      </w:r>
    </w:p>
    <w:p>
      <w:pPr>
        <w:pStyle w:val="Normal(Web)"/>
        <w:divId w:val="312"/>
        <w:rPr>
          <w:vanish w:val="0"/>
        </w:rPr>
      </w:pPr>
      <w:r>
        <w:rPr>
          <w:b/>
        </w:rPr>
        <w:t xml:space="preserve">VIII. BÀI KIỂM TRA</w:t>
      </w:r>
    </w:p>
    <w:p>
      <w:pPr>
        <w:pStyle w:val="Normal(Web)"/>
        <w:divId w:val="313"/>
        <w:rPr>
          <w:vanish w:val="0"/>
        </w:rPr>
      </w:pPr>
      <w:r>
        <w:t xml:space="preserve">1. </w:t>
      </w:r>
      <w:r>
        <w:rPr>
          <w:b/>
        </w:rPr>
        <w:t xml:space="preserve">Mục đích</w:t>
      </w:r>
    </w:p>
    <w:p>
      <w:pPr>
        <w:pStyle w:val="Normal(Web)"/>
        <w:divId w:val="314"/>
        <w:rPr>
          <w:vanish w:val="0"/>
        </w:rPr>
      </w:pPr>
      <w:r>
        <w:t xml:space="preserve">a) Là phần thu hoạch kiến thức và kỹ năng thu nhận được từ chương trình bồi dưỡng thanh tra chuyên ngành Thuế.</w:t>
      </w:r>
    </w:p>
    <w:p>
      <w:pPr>
        <w:pStyle w:val="Normal(Web)"/>
        <w:divId w:val="315"/>
        <w:rPr>
          <w:vanish w:val="0"/>
        </w:rPr>
      </w:pPr>
      <w:r>
        <w:t xml:space="preserve">b) Đánh giá mức độ kết quả học tập của học viên đã đạt được qua chương trình.</w:t>
      </w:r>
    </w:p>
    <w:p>
      <w:pPr>
        <w:pStyle w:val="Normal(Web)"/>
        <w:divId w:val="316"/>
        <w:rPr>
          <w:vanish w:val="0"/>
        </w:rPr>
      </w:pPr>
      <w:r>
        <w:t xml:space="preserve">c) Đánh giá khả năng vận dụng kiến thức và kỹ năng đã thu nhận được vào thực tiễn công tác của học viên.</w:t>
      </w:r>
    </w:p>
    <w:p>
      <w:pPr>
        <w:pStyle w:val="Normal(Web)"/>
        <w:divId w:val="317"/>
        <w:rPr>
          <w:vanish w:val="0"/>
        </w:rPr>
      </w:pPr>
      <w:r>
        <w:t xml:space="preserve">2. </w:t>
      </w:r>
      <w:r>
        <w:rPr>
          <w:b/>
        </w:rPr>
        <w:t xml:space="preserve">Đánh giá</w:t>
      </w:r>
    </w:p>
    <w:p>
      <w:pPr>
        <w:pStyle w:val="Normal(Web)"/>
        <w:divId w:val="318"/>
        <w:rPr>
          <w:vanish w:val="0"/>
        </w:rPr>
      </w:pPr>
      <w:r>
        <w:t xml:space="preserve">a) Chấm điểm theo thang điểm 10: Đạt từ 5 điểm trở lên</w:t>
      </w:r>
    </w:p>
    <w:p>
      <w:pPr>
        <w:pStyle w:val="Normal(Web)"/>
        <w:divId w:val="319"/>
        <w:rPr>
          <w:vanish w:val="0"/>
        </w:rPr>
      </w:pPr>
      <w:r>
        <w:t xml:space="preserve">b) Xếp loại:</w:t>
      </w:r>
    </w:p>
    <w:p>
      <w:pPr>
        <w:pStyle w:val="Normal(Web)"/>
        <w:divId w:val="320"/>
        <w:rPr>
          <w:vanish w:val="0"/>
        </w:rPr>
      </w:pPr>
      <w:r>
        <w:t xml:space="preserve">- Giỏi: 9 - 10 điểm</w:t>
      </w:r>
    </w:p>
    <w:p>
      <w:pPr>
        <w:pStyle w:val="Normal(Web)"/>
        <w:divId w:val="321"/>
        <w:rPr>
          <w:vanish w:val="0"/>
        </w:rPr>
      </w:pPr>
      <w:r>
        <w:t xml:space="preserve">- Khá: 7 - 8 điểm</w:t>
      </w:r>
    </w:p>
    <w:p>
      <w:pPr>
        <w:pStyle w:val="Normal(Web)"/>
        <w:divId w:val="322"/>
        <w:rPr>
          <w:vanish w:val="0"/>
        </w:rPr>
      </w:pPr>
      <w:r>
        <w:t xml:space="preserve">- Trung bình: 5 - 6 điểm</w:t>
      </w:r>
    </w:p>
    <w:p>
      <w:pPr>
        <w:pStyle w:val="Normal(Web)"/>
        <w:divId w:val="323"/>
        <w:rPr>
          <w:vanish w:val="0"/>
        </w:rPr>
      </w:pPr>
      <w:r>
        <w:t xml:space="preserve">- </w:t>
      </w:r>
      <w:r>
        <w:t xml:space="preserve">Không đạt: Dưới điểm 5./.</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2010-nd-cp-cua-chinh-phu---ve-dao-tao--boi-duong-cong-chu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2022-06-21T17:05:04Z</dcterms:created>
  <dcterms:modified xsi:type="dcterms:W3CDTF">2022-06-21T17:05:04Z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2022-06-21T17:05:04Z</dcterms:created>
  <dcterms:modified xsi:type="dcterms:W3CDTF">2022-06-21T17:05:04Z</dcterms:modified>
</cp:coreProperties>
</file>