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nil"/>
          <w:bottom w:val="nil"/>
          <w:insideH w:val="nil"/>
          <w:insideV w:val="nil"/>
        </w:tblBorders>
        <w:tblCellMar>
          <w:left w:w="0" w:type="dxa"/>
          <w:right w:w="0" w:type="dxa"/>
        </w:tblCellMar>
        <w:tblLook w:val="04A0"/>
      </w:tblPr>
      <w:tblGrid>
        <w:gridCol w:w="3383"/>
        <w:gridCol w:w="5532"/>
      </w:tblGrid>
      <w:tr w:rsidR="00000000">
        <w:trPr>
          <w:trHeight w:val="288"/>
        </w:trPr>
        <w:tc>
          <w:tcPr>
            <w:tcW w:w="3383"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A6E58">
            <w:pPr>
              <w:spacing w:before="120"/>
              <w:jc w:val="center"/>
            </w:pPr>
            <w:r>
              <w:rPr>
                <w:b/>
                <w:bCs/>
                <w:lang w:val="en-US"/>
              </w:rPr>
              <w:t>ỦY</w:t>
            </w:r>
            <w:r>
              <w:rPr>
                <w:b/>
                <w:bCs/>
              </w:rPr>
              <w:t xml:space="preserve"> BAN NHÂN DÂN</w:t>
            </w:r>
            <w:r>
              <w:rPr>
                <w:b/>
                <w:bCs/>
                <w:lang w:val="en-US"/>
              </w:rPr>
              <w:br/>
            </w:r>
            <w:r>
              <w:rPr>
                <w:b/>
                <w:bCs/>
              </w:rPr>
              <w:t>TỈNH HÒA BÌNH</w:t>
            </w:r>
            <w:r>
              <w:rPr>
                <w:b/>
                <w:bCs/>
              </w:rPr>
              <w:br/>
              <w:t>-------</w:t>
            </w:r>
          </w:p>
        </w:tc>
        <w:tc>
          <w:tcPr>
            <w:tcW w:w="5532"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A6E58">
            <w:pPr>
              <w:spacing w:before="120"/>
              <w:jc w:val="center"/>
            </w:pPr>
            <w:r>
              <w:rPr>
                <w:b/>
                <w:bCs/>
              </w:rPr>
              <w:t>CỘNG HÒA XÃ HỘI CHỦ NGHĨA VIỆT NAM</w:t>
            </w:r>
            <w:r>
              <w:rPr>
                <w:b/>
                <w:bCs/>
              </w:rPr>
              <w:br/>
              <w:t xml:space="preserve">Độc lập - Tự do - Hạnh phúc </w:t>
            </w:r>
            <w:r>
              <w:rPr>
                <w:b/>
                <w:bCs/>
              </w:rPr>
              <w:br/>
              <w:t>---------------</w:t>
            </w:r>
          </w:p>
        </w:tc>
      </w:tr>
      <w:tr w:rsidR="00000000">
        <w:tblPrEx>
          <w:tblBorders>
            <w:top w:val="none" w:sz="0" w:space="0" w:color="auto"/>
            <w:bottom w:val="none" w:sz="0" w:space="0" w:color="auto"/>
            <w:insideH w:val="none" w:sz="0" w:space="0" w:color="auto"/>
            <w:insideV w:val="none" w:sz="0" w:space="0" w:color="auto"/>
          </w:tblBorders>
        </w:tblPrEx>
        <w:trPr>
          <w:trHeight w:val="256"/>
        </w:trPr>
        <w:tc>
          <w:tcPr>
            <w:tcW w:w="3383"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A6E58">
            <w:pPr>
              <w:spacing w:before="120"/>
              <w:jc w:val="center"/>
            </w:pPr>
            <w:r>
              <w:t>Số: 06/2015/QĐ-UBND</w:t>
            </w:r>
          </w:p>
        </w:tc>
        <w:tc>
          <w:tcPr>
            <w:tcW w:w="5532"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A6E58">
            <w:pPr>
              <w:spacing w:before="120"/>
              <w:jc w:val="right"/>
            </w:pPr>
            <w:r>
              <w:rPr>
                <w:i/>
                <w:iCs/>
              </w:rPr>
              <w:t xml:space="preserve">Hòa Bình, ngày 03 </w:t>
            </w:r>
            <w:r>
              <w:rPr>
                <w:i/>
                <w:iCs/>
                <w:shd w:val="solid" w:color="FFFFFF" w:fill="auto"/>
              </w:rPr>
              <w:t>tháng</w:t>
            </w:r>
            <w:r>
              <w:rPr>
                <w:i/>
                <w:iCs/>
              </w:rPr>
              <w:t xml:space="preserve"> 03 năm 2015</w:t>
            </w:r>
          </w:p>
        </w:tc>
      </w:tr>
    </w:tbl>
    <w:p w:rsidR="00000000" w:rsidRDefault="009A6E58">
      <w:pPr>
        <w:spacing w:before="120" w:after="280" w:afterAutospacing="1"/>
      </w:pPr>
      <w:r>
        <w:t> </w:t>
      </w:r>
    </w:p>
    <w:p w:rsidR="00000000" w:rsidRDefault="009A6E58">
      <w:pPr>
        <w:spacing w:before="120" w:after="280" w:afterAutospacing="1"/>
        <w:jc w:val="center"/>
      </w:pPr>
      <w:r>
        <w:rPr>
          <w:b/>
          <w:bCs/>
        </w:rPr>
        <w:t>QUYẾT ĐỊNH</w:t>
      </w:r>
    </w:p>
    <w:p w:rsidR="00000000" w:rsidRDefault="009A6E58">
      <w:pPr>
        <w:spacing w:before="120" w:after="280" w:afterAutospacing="1"/>
        <w:jc w:val="center"/>
      </w:pPr>
      <w:r>
        <w:t xml:space="preserve">VỀ VIỆC BAN HÀNH ĐỊNH MỨC TIÊU HAO NHIÊN LIỆU ĐỐI VỚI XE Ô TÔ PHỤC </w:t>
      </w:r>
      <w:r>
        <w:t>VỤ CÔNG TÁC CỦA CÁC CƠ QUAN, ĐƠN VỊ, TỔ CHỨC CÓ SỬ DỤNG KINH PHÍ TỪ NGÂN SÁCH NHÀ NƯỚC TRÊN ĐỊA BÀN TỈNH HÒA BÌNH</w:t>
      </w:r>
    </w:p>
    <w:p w:rsidR="00000000" w:rsidRDefault="009A6E58">
      <w:pPr>
        <w:spacing w:before="120" w:after="280" w:afterAutospacing="1"/>
        <w:jc w:val="center"/>
      </w:pPr>
      <w:r>
        <w:rPr>
          <w:b/>
          <w:bCs/>
        </w:rPr>
        <w:t>ỦY BAN NHÂN DÂN TỈNH HÒA BÌNH</w:t>
      </w:r>
    </w:p>
    <w:p w:rsidR="00000000" w:rsidRDefault="009A6E58">
      <w:pPr>
        <w:spacing w:before="120" w:after="280" w:afterAutospacing="1"/>
      </w:pPr>
      <w:r>
        <w:rPr>
          <w:i/>
          <w:iCs/>
        </w:rPr>
        <w:t xml:space="preserve">Căn cứ Luật Tổ chức Hội đồng nhân dân và </w:t>
      </w:r>
      <w:r>
        <w:rPr>
          <w:i/>
          <w:iCs/>
          <w:shd w:val="solid" w:color="FFFFFF" w:fill="auto"/>
        </w:rPr>
        <w:t>Ủy ban</w:t>
      </w:r>
      <w:r>
        <w:rPr>
          <w:i/>
          <w:iCs/>
        </w:rPr>
        <w:t xml:space="preserve"> nhân dân ngày 26 tháng 11 năm 2003;</w:t>
      </w:r>
    </w:p>
    <w:p w:rsidR="00000000" w:rsidRDefault="009A6E58">
      <w:pPr>
        <w:spacing w:before="120" w:after="280" w:afterAutospacing="1"/>
      </w:pPr>
      <w:r>
        <w:rPr>
          <w:i/>
          <w:iCs/>
        </w:rPr>
        <w:t>Căn cứ Luật Ban hành văn bản</w:t>
      </w:r>
      <w:r>
        <w:rPr>
          <w:i/>
          <w:iCs/>
        </w:rPr>
        <w:t xml:space="preserve"> quy phạm pháp luật của Hội đồng nhân dân, </w:t>
      </w:r>
      <w:r>
        <w:rPr>
          <w:i/>
          <w:iCs/>
          <w:shd w:val="solid" w:color="FFFFFF" w:fill="auto"/>
        </w:rPr>
        <w:t>Ủy ban</w:t>
      </w:r>
      <w:r>
        <w:rPr>
          <w:i/>
          <w:iCs/>
        </w:rPr>
        <w:t xml:space="preserve"> nhân dân ngày 03 tháng 12 năm 2004;</w:t>
      </w:r>
    </w:p>
    <w:p w:rsidR="00000000" w:rsidRDefault="009A6E58">
      <w:pPr>
        <w:spacing w:before="120" w:after="280" w:afterAutospacing="1"/>
      </w:pPr>
      <w:r>
        <w:rPr>
          <w:i/>
          <w:iCs/>
        </w:rPr>
        <w:t xml:space="preserve">Căn cứ Luật Quản lý, sử dụng tài sản nhà nước ngày 03 tháng 6 năm 2008; Luật Sử dụng năng lượng tiết kiệm và hiệu quả ngày 17 tháng 6 năm 2010; Luật Thực hành tiết kiệm, </w:t>
      </w:r>
      <w:r>
        <w:rPr>
          <w:i/>
          <w:iCs/>
        </w:rPr>
        <w:t>chống lãng phí ngày 26 tháng 11 năm 2013;</w:t>
      </w:r>
    </w:p>
    <w:p w:rsidR="00000000" w:rsidRDefault="009A6E58">
      <w:pPr>
        <w:spacing w:before="120" w:after="280" w:afterAutospacing="1"/>
      </w:pPr>
      <w:r>
        <w:rPr>
          <w:i/>
          <w:iCs/>
        </w:rPr>
        <w:t>Theo đề nghị của Giám đốc Sở Tài chính tại Tờ trình số 30/TTr-STC-TCHCSN ngày 06 tháng 02 năm 2015,</w:t>
      </w:r>
    </w:p>
    <w:p w:rsidR="00000000" w:rsidRDefault="009A6E58">
      <w:pPr>
        <w:spacing w:before="120" w:after="280" w:afterAutospacing="1"/>
        <w:jc w:val="center"/>
      </w:pPr>
      <w:r>
        <w:rPr>
          <w:b/>
          <w:bCs/>
        </w:rPr>
        <w:t>QUYẾT ĐỊNH:</w:t>
      </w:r>
    </w:p>
    <w:p w:rsidR="00000000" w:rsidRDefault="009A6E58">
      <w:pPr>
        <w:spacing w:before="120" w:after="280" w:afterAutospacing="1"/>
      </w:pPr>
      <w:r>
        <w:rPr>
          <w:b/>
          <w:bCs/>
        </w:rPr>
        <w:t>Điều 1.</w:t>
      </w:r>
      <w:r>
        <w:t xml:space="preserve"> Ban hành kèm theo Quyết định này định mức tiêu hao nhiên liệu đối với xe ô tô phục vụ công tác</w:t>
      </w:r>
      <w:r>
        <w:t xml:space="preserve"> </w:t>
      </w:r>
      <w:r>
        <w:rPr>
          <w:i/>
          <w:iCs/>
        </w:rPr>
        <w:t>(có phụ lục kèm theo)</w:t>
      </w:r>
      <w:r>
        <w:t>:</w:t>
      </w:r>
    </w:p>
    <w:p w:rsidR="00000000" w:rsidRDefault="009A6E58">
      <w:pPr>
        <w:spacing w:before="120" w:after="280" w:afterAutospacing="1"/>
      </w:pPr>
      <w:r>
        <w:t>1. Đối tượng và phạm vi áp dụng</w:t>
      </w:r>
    </w:p>
    <w:p w:rsidR="00000000" w:rsidRDefault="009A6E58">
      <w:pPr>
        <w:spacing w:before="120" w:after="280" w:afterAutospacing="1"/>
      </w:pPr>
      <w:r>
        <w:t>Xe ô tô phục vụ công tác của các cơ quan Đảng, cơ quan nhà nước, đơn vị sự nghiệp công lập, tổ chức chính trị, tổ chức chính trị - xã hội, tổ chức chính trị - xã hội - nghề nghiệp và các đơn vị (sau đ</w:t>
      </w:r>
      <w:r>
        <w:t>ây gọi chung là cơ quan, tổ chức, đơn vị) có sử dụng kinh phí từ ngân sách nhà nước thuộc địa phương quản lý;</w:t>
      </w:r>
    </w:p>
    <w:p w:rsidR="00000000" w:rsidRDefault="009A6E58">
      <w:pPr>
        <w:spacing w:before="120" w:after="280" w:afterAutospacing="1"/>
      </w:pPr>
      <w:r>
        <w:t>Các cơ quan, tổ chức, đơn vị không sử dụng kinh phí từ ngân sách nhà nước tham khảo để áp dụng định mức tiêu hao nhiên liệu này.</w:t>
      </w:r>
    </w:p>
    <w:p w:rsidR="00000000" w:rsidRDefault="009A6E58">
      <w:pPr>
        <w:spacing w:before="120" w:after="280" w:afterAutospacing="1"/>
      </w:pPr>
      <w:r>
        <w:t xml:space="preserve">2. Định mức tiêu </w:t>
      </w:r>
      <w:r>
        <w:t>hao nhiên liệu tại Quyết định này là định mức tối đa cho 100km vận hành (lít/100km). Thủ trưởng các cơ quan, đơn vị, tổ chức căn cứ tình hình, chất lượng xe ô tô để quy định cụ thể định mức tiêu hao nhiên liệu đối với từng loại xe ô tô trong Quy chế chi ti</w:t>
      </w:r>
      <w:r>
        <w:t xml:space="preserve">êu của các </w:t>
      </w:r>
      <w:r>
        <w:lastRenderedPageBreak/>
        <w:t xml:space="preserve">cơ quan, đơn vị, tổ chức cho </w:t>
      </w:r>
      <w:r>
        <w:rPr>
          <w:shd w:val="solid" w:color="FFFFFF" w:fill="auto"/>
        </w:rPr>
        <w:t>phù hợp</w:t>
      </w:r>
      <w:r>
        <w:t xml:space="preserve"> bảo đảm hiệu quả, tiết kiệm và không vượt quá mức tiêu hao quy định tại Quyết định này.</w:t>
      </w:r>
    </w:p>
    <w:p w:rsidR="00000000" w:rsidRDefault="009A6E58">
      <w:pPr>
        <w:spacing w:before="120" w:after="280" w:afterAutospacing="1"/>
      </w:pPr>
      <w:r>
        <w:t>3. Định mức tiêu hao nhiên liệu tại Quyết định này là định mức khi xe vận hành đã tính đến hoạt động của các thiết bị ph</w:t>
      </w:r>
      <w:r>
        <w:t>ụ tải đi kèm như: gạt mưa, máy điều hòa không khí và các yếu tố ảnh hưởng: quay trở đầu xe, đường xấu, dốc, xe hoạt động trong thành phố, thị trấn, hoạt động trên đường ngắn, cầu tạm;</w:t>
      </w:r>
    </w:p>
    <w:p w:rsidR="00000000" w:rsidRDefault="009A6E58">
      <w:pPr>
        <w:spacing w:before="120" w:after="280" w:afterAutospacing="1"/>
      </w:pPr>
      <w:r>
        <w:t xml:space="preserve">Đối với xe đưa đón lãnh đạo thuộc các chức danh được sử dụng xe ô tô để </w:t>
      </w:r>
      <w:r>
        <w:t>đưa đón từ nơi ở đến nơi làm việc, xe ô tô chuyên dùng, xe cứu thương, xe hộ đê, xe phòng chống dịch, xe kiểm lâm, xe phòng chống bão lũ, xe thanh tra giao thông, xe ô tô đã qua đại tu, xe ô tô hoạt động thường xuyên trên các tuyến đường giao thông chưa hì</w:t>
      </w:r>
      <w:r>
        <w:t>nh thành như đi khảo sát, đường trơn, lầy... và một số loại xe chuyên dùng khác thì định mức tiêu hao nhiên liệu có thể tăng thêm nhưng không vượt quá 15% so với định mức đã quy định;</w:t>
      </w:r>
    </w:p>
    <w:p w:rsidR="00000000" w:rsidRDefault="009A6E58">
      <w:pPr>
        <w:spacing w:before="120" w:after="280" w:afterAutospacing="1"/>
      </w:pPr>
      <w:r>
        <w:t xml:space="preserve">Khi áp dụng định mức trên, các cơ quan, tổ chức, đơn vị căn cứ số Km xe </w:t>
      </w:r>
      <w:r>
        <w:t xml:space="preserve">ô tô đã hoạt động trong lý lịch xe để điều chỉnh cho </w:t>
      </w:r>
      <w:r>
        <w:rPr>
          <w:shd w:val="solid" w:color="FFFFFF" w:fill="auto"/>
        </w:rPr>
        <w:t>phù hợp</w:t>
      </w:r>
      <w:r>
        <w:t>;</w:t>
      </w:r>
    </w:p>
    <w:p w:rsidR="00000000" w:rsidRDefault="009A6E58">
      <w:pPr>
        <w:spacing w:before="120" w:after="280" w:afterAutospacing="1"/>
      </w:pPr>
      <w:r>
        <w:t>Đối với các loại xe mới, khi đưa vào sử dụng nhưng không có trong danh mục định mức trên, thì lấy mức tiêu hao nhiên liệu tối đa của nhà sản xuất làm căn cứ xác định định mức tiêu hao nhiên liệu</w:t>
      </w:r>
      <w:r>
        <w:t xml:space="preserve"> hoặc căn cứ vào các chỉ tiêu kỹ thuật </w:t>
      </w:r>
      <w:r>
        <w:rPr>
          <w:i/>
          <w:iCs/>
        </w:rPr>
        <w:t>(số chỗ ngồi, công suất động cơ hoặc dung tích xi lanh)</w:t>
      </w:r>
      <w:r>
        <w:t xml:space="preserve"> của loại xe tương đương trong phụ lục kèm theo Quyết định này để định mức tiêu hao nhiên liệu cho phù hợp.</w:t>
      </w:r>
    </w:p>
    <w:p w:rsidR="00000000" w:rsidRDefault="009A6E58">
      <w:pPr>
        <w:spacing w:before="120" w:after="280" w:afterAutospacing="1"/>
      </w:pPr>
      <w:r>
        <w:t xml:space="preserve">4. Định mức tiêu hao nhiên liệu tại Quyết định này là </w:t>
      </w:r>
      <w:r>
        <w:t xml:space="preserve">căn cứ để xây dựng dự toán ngân sách, cấp phát, thanh quyết toán chi phí sử dụng nhiên liệu cho các loại xe ô tô của các cơ quan, </w:t>
      </w:r>
      <w:r>
        <w:rPr>
          <w:shd w:val="solid" w:color="FFFFFF" w:fill="auto"/>
        </w:rPr>
        <w:t>tổ chức</w:t>
      </w:r>
      <w:r>
        <w:t>, đơn vị.</w:t>
      </w:r>
    </w:p>
    <w:p w:rsidR="00000000" w:rsidRDefault="009A6E58">
      <w:pPr>
        <w:spacing w:before="120" w:after="280" w:afterAutospacing="1"/>
      </w:pPr>
      <w:r>
        <w:rPr>
          <w:b/>
          <w:bCs/>
        </w:rPr>
        <w:t>Điều 2.</w:t>
      </w:r>
      <w:r>
        <w:t xml:space="preserve"> Quyết định có hiệu lực thi hành sau 10 ngày, kể từ ngày ký. Giao Sở Tài chính chủ trì, </w:t>
      </w:r>
      <w:r>
        <w:rPr>
          <w:shd w:val="solid" w:color="FFFFFF" w:fill="auto"/>
        </w:rPr>
        <w:t>phối hợp</w:t>
      </w:r>
      <w:r>
        <w:t xml:space="preserve"> với S</w:t>
      </w:r>
      <w:r>
        <w:t>ở Giao thông vận tải theo dõi việc thực hiện Quyết định này.</w:t>
      </w:r>
    </w:p>
    <w:p w:rsidR="00000000" w:rsidRDefault="009A6E58">
      <w:pPr>
        <w:spacing w:before="120" w:after="280" w:afterAutospacing="1"/>
      </w:pPr>
      <w:r>
        <w:rPr>
          <w:b/>
          <w:bCs/>
        </w:rPr>
        <w:t>Điều 3.</w:t>
      </w:r>
      <w:r>
        <w:t xml:space="preserve"> Chánh Văn phòng </w:t>
      </w:r>
      <w:r>
        <w:rPr>
          <w:shd w:val="solid" w:color="FFFFFF" w:fill="auto"/>
        </w:rPr>
        <w:t>Ủy ban</w:t>
      </w:r>
      <w:r>
        <w:t xml:space="preserve"> nhân dân tỉnh; Giám đốc các Sở; Thủ trưởng các Ban, ngành; Chủ tịch </w:t>
      </w:r>
      <w:r>
        <w:rPr>
          <w:shd w:val="solid" w:color="FFFFFF" w:fill="auto"/>
        </w:rPr>
        <w:t>Ủy ban</w:t>
      </w:r>
      <w:r>
        <w:t xml:space="preserve"> nhân dân các huyện, thành phố; các tổ chức, cá nhân có liên quan căn cứ Quyết định thi hà</w:t>
      </w:r>
      <w:r>
        <w:t>nh./.</w:t>
      </w:r>
    </w:p>
    <w:p w:rsidR="00000000" w:rsidRDefault="009A6E58">
      <w:pPr>
        <w:spacing w:before="120" w:after="280" w:afterAutospacing="1"/>
      </w:pPr>
      <w:r>
        <w:t> </w:t>
      </w:r>
    </w:p>
    <w:tbl>
      <w:tblPr>
        <w:tblW w:w="0" w:type="auto"/>
        <w:tblBorders>
          <w:top w:val="nil"/>
          <w:bottom w:val="nil"/>
          <w:insideH w:val="nil"/>
          <w:insideV w:val="nil"/>
        </w:tblBorders>
        <w:tblCellMar>
          <w:left w:w="0" w:type="dxa"/>
          <w:right w:w="0" w:type="dxa"/>
        </w:tblCellMar>
        <w:tblLook w:val="04A0"/>
      </w:tblPr>
      <w:tblGrid>
        <w:gridCol w:w="4428"/>
        <w:gridCol w:w="4428"/>
      </w:tblGrid>
      <w:tr w:rsidR="00000000">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A6E58">
            <w:pPr>
              <w:spacing w:before="120" w:after="280" w:afterAutospacing="1"/>
            </w:pPr>
            <w:r>
              <w:rPr>
                <w:b/>
                <w:bCs/>
                <w:i/>
                <w:iCs/>
                <w:sz w:val="16"/>
              </w:rPr>
              <w:t> </w:t>
            </w:r>
          </w:p>
          <w:p w:rsidR="00000000" w:rsidRDefault="009A6E58">
            <w:pPr>
              <w:spacing w:before="120"/>
            </w:pPr>
            <w:r>
              <w:rPr>
                <w:b/>
                <w:bCs/>
                <w:i/>
                <w:iCs/>
              </w:rPr>
              <w:t>Nơi nhận:</w:t>
            </w:r>
            <w:r>
              <w:rPr>
                <w:b/>
                <w:bCs/>
                <w:i/>
                <w:iCs/>
              </w:rPr>
              <w:br/>
            </w:r>
            <w:r>
              <w:rPr>
                <w:sz w:val="16"/>
              </w:rPr>
              <w:t>- Như điều 3;</w:t>
            </w:r>
            <w:r>
              <w:rPr>
                <w:sz w:val="16"/>
              </w:rPr>
              <w:br/>
              <w:t>- Chính phủ;</w:t>
            </w:r>
            <w:r>
              <w:rPr>
                <w:sz w:val="16"/>
              </w:rPr>
              <w:br/>
              <w:t>- Bộ Tài chính;</w:t>
            </w:r>
            <w:r>
              <w:rPr>
                <w:sz w:val="16"/>
              </w:rPr>
              <w:br/>
              <w:t>- Cục Kiểm tra văn bản (Bộ Tư pháp);</w:t>
            </w:r>
            <w:r>
              <w:rPr>
                <w:sz w:val="16"/>
              </w:rPr>
              <w:br/>
              <w:t>- Thường trực Tỉnh ủy;</w:t>
            </w:r>
            <w:r>
              <w:rPr>
                <w:sz w:val="16"/>
              </w:rPr>
              <w:br/>
              <w:t>- Thường trực HĐND tỉnh;</w:t>
            </w:r>
            <w:r>
              <w:rPr>
                <w:sz w:val="16"/>
              </w:rPr>
              <w:br/>
              <w:t>- Đoàn Đại biểu Quốc hội tỉnh;</w:t>
            </w:r>
            <w:r>
              <w:rPr>
                <w:sz w:val="16"/>
              </w:rPr>
              <w:br/>
              <w:t>- Chủ tịch, các Phó Chủ tịch UBND tỉnh;</w:t>
            </w:r>
            <w:r>
              <w:rPr>
                <w:sz w:val="16"/>
              </w:rPr>
              <w:br/>
              <w:t>- Chánh/Phó VPUBND tỉnh;</w:t>
            </w:r>
            <w:r>
              <w:rPr>
                <w:sz w:val="16"/>
              </w:rPr>
              <w:br/>
              <w:t xml:space="preserve">- Đăng Công </w:t>
            </w:r>
            <w:r>
              <w:rPr>
                <w:sz w:val="16"/>
              </w:rPr>
              <w:t>báo tỉnh;</w:t>
            </w:r>
            <w:r>
              <w:rPr>
                <w:sz w:val="16"/>
              </w:rPr>
              <w:br/>
            </w:r>
            <w:r>
              <w:rPr>
                <w:sz w:val="16"/>
              </w:rPr>
              <w:lastRenderedPageBreak/>
              <w:t>- Lưu: VT. TCTM, TT(100</w:t>
            </w:r>
            <w:r>
              <w:rPr>
                <w:sz w:val="16"/>
                <w:vertAlign w:val="superscript"/>
              </w:rPr>
              <w:t>b</w:t>
            </w:r>
            <w:r>
              <w:rPr>
                <w:sz w:val="16"/>
              </w:rPr>
              <w:t>).</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000000" w:rsidRDefault="009A6E58">
            <w:pPr>
              <w:spacing w:before="120"/>
              <w:jc w:val="center"/>
            </w:pPr>
            <w:r>
              <w:rPr>
                <w:b/>
                <w:bCs/>
              </w:rPr>
              <w:lastRenderedPageBreak/>
              <w:t>TM. ỦY BAN NHÂN DÂN</w:t>
            </w:r>
            <w:r>
              <w:rPr>
                <w:b/>
                <w:bCs/>
              </w:rPr>
              <w:br/>
              <w:t>CHỦ TỊCH</w:t>
            </w:r>
            <w:r>
              <w:rPr>
                <w:b/>
                <w:bCs/>
              </w:rPr>
              <w:br/>
            </w:r>
            <w:r>
              <w:rPr>
                <w:b/>
                <w:bCs/>
              </w:rPr>
              <w:br/>
            </w:r>
            <w:r>
              <w:rPr>
                <w:b/>
                <w:bCs/>
              </w:rPr>
              <w:br/>
            </w:r>
            <w:r>
              <w:rPr>
                <w:b/>
                <w:bCs/>
              </w:rPr>
              <w:br/>
            </w:r>
            <w:r>
              <w:rPr>
                <w:b/>
                <w:bCs/>
              </w:rPr>
              <w:br/>
              <w:t>Nguyễn Văn Quang</w:t>
            </w:r>
          </w:p>
        </w:tc>
      </w:tr>
    </w:tbl>
    <w:p w:rsidR="00000000" w:rsidRDefault="009A6E58">
      <w:pPr>
        <w:spacing w:before="120" w:after="280" w:afterAutospacing="1"/>
      </w:pPr>
      <w:r>
        <w:lastRenderedPageBreak/>
        <w:t> </w:t>
      </w:r>
    </w:p>
    <w:p w:rsidR="00000000" w:rsidRDefault="009A6E58">
      <w:pPr>
        <w:spacing w:before="120" w:after="280" w:afterAutospacing="1"/>
        <w:jc w:val="center"/>
      </w:pPr>
      <w:r>
        <w:rPr>
          <w:b/>
          <w:bCs/>
        </w:rPr>
        <w:t>PHỤ LỤC</w:t>
      </w:r>
    </w:p>
    <w:p w:rsidR="00000000" w:rsidRDefault="009A6E58">
      <w:pPr>
        <w:spacing w:before="120" w:after="280" w:afterAutospacing="1"/>
        <w:jc w:val="center"/>
      </w:pPr>
      <w:r>
        <w:t>ĐỊNH MỨC TIÊU HAO NHIÊN LIỆU TRONG VIỆC SỬ DỤNG XE Ô TÔ PHỤC VỤ CÔNG TÁC TRÊN ĐỊA BÀN TỈNH HÒA BÌNH</w:t>
      </w:r>
      <w:r>
        <w:br/>
      </w:r>
      <w:r>
        <w:rPr>
          <w:i/>
          <w:iCs/>
        </w:rPr>
        <w:t xml:space="preserve">(Kèm theo Quyết định số 06/2015/QĐ-UBND ngày 03 </w:t>
      </w:r>
      <w:r>
        <w:rPr>
          <w:i/>
          <w:iCs/>
          <w:shd w:val="solid" w:color="FFFFFF" w:fill="auto"/>
        </w:rPr>
        <w:t>tháng</w:t>
      </w:r>
      <w:r>
        <w:rPr>
          <w:i/>
          <w:iCs/>
        </w:rPr>
        <w:t xml:space="preserve"> 03 n</w:t>
      </w:r>
      <w:r>
        <w:rPr>
          <w:i/>
          <w:iCs/>
        </w:rPr>
        <w:t>ăm 2015 của UBND tỉnh Hòa Bình)</w:t>
      </w:r>
    </w:p>
    <w:tbl>
      <w:tblPr>
        <w:tblW w:w="0" w:type="dxa"/>
        <w:tblBorders>
          <w:top w:val="nil"/>
          <w:bottom w:val="nil"/>
          <w:insideH w:val="nil"/>
          <w:insideV w:val="nil"/>
        </w:tblBorders>
        <w:tblCellMar>
          <w:left w:w="0" w:type="dxa"/>
          <w:right w:w="0" w:type="dxa"/>
        </w:tblCellMar>
        <w:tblLook w:val="04A0"/>
      </w:tblPr>
      <w:tblGrid>
        <w:gridCol w:w="628"/>
        <w:gridCol w:w="1"/>
        <w:gridCol w:w="1"/>
        <w:gridCol w:w="1"/>
        <w:gridCol w:w="2252"/>
        <w:gridCol w:w="827"/>
        <w:gridCol w:w="930"/>
        <w:gridCol w:w="795"/>
        <w:gridCol w:w="1"/>
        <w:gridCol w:w="1"/>
        <w:gridCol w:w="1068"/>
        <w:gridCol w:w="1302"/>
        <w:gridCol w:w="1169"/>
      </w:tblGrid>
      <w:tr w:rsidR="00000000">
        <w:tc>
          <w:tcPr>
            <w:tcW w:w="628" w:type="dxa"/>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STT</w:t>
            </w:r>
          </w:p>
        </w:tc>
        <w:tc>
          <w:tcPr>
            <w:tcW w:w="2255" w:type="dxa"/>
            <w:gridSpan w:val="4"/>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Lo</w:t>
            </w:r>
            <w:r>
              <w:rPr>
                <w:b/>
                <w:bCs/>
                <w:lang w:val="en-US"/>
              </w:rPr>
              <w:t>ạ</w:t>
            </w:r>
            <w:r>
              <w:rPr>
                <w:b/>
                <w:bCs/>
              </w:rPr>
              <w:t>i xe, nhãn hi</w:t>
            </w:r>
            <w:r>
              <w:rPr>
                <w:b/>
                <w:bCs/>
                <w:lang w:val="en-US"/>
              </w:rPr>
              <w:t>ệ</w:t>
            </w:r>
            <w:r>
              <w:rPr>
                <w:b/>
                <w:bCs/>
              </w:rPr>
              <w:t>u</w:t>
            </w:r>
          </w:p>
        </w:tc>
        <w:tc>
          <w:tcPr>
            <w:tcW w:w="827" w:type="dxa"/>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Loại nhiên liệu sử dụng</w:t>
            </w:r>
          </w:p>
        </w:tc>
        <w:tc>
          <w:tcPr>
            <w:tcW w:w="930" w:type="dxa"/>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Dung tích xi lanh (cm3)</w:t>
            </w:r>
          </w:p>
        </w:tc>
        <w:tc>
          <w:tcPr>
            <w:tcW w:w="795" w:type="dxa"/>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Định mức tiêu hao NL theo thiết kế</w:t>
            </w:r>
          </w:p>
        </w:tc>
        <w:tc>
          <w:tcPr>
            <w:tcW w:w="3541" w:type="dxa"/>
            <w:h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Định mức tiêu hao nhiên liệu áp dụng theo số Km xe đã vận hành (lít/100Km)</w:t>
            </w:r>
          </w:p>
        </w:tc>
        <w:tc>
          <w:tcPr>
            <w:tcW w:w="3541" w:type="dxa"/>
            <w:hMerge/>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Định mức tiêu hao nhiên liệu áp dụng theo s</w:t>
            </w:r>
            <w:r>
              <w:rPr>
                <w:b/>
                <w:bCs/>
              </w:rPr>
              <w:t>ố Km xe đã vận hành (lít/100Km)</w:t>
            </w:r>
          </w:p>
        </w:tc>
        <w:tc>
          <w:tcPr>
            <w:tcW w:w="3541" w:type="dxa"/>
            <w:gridSpan w:val="3"/>
            <w:hMerge/>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Định mức tiêu hao nhiên liệu áp dụng theo số Km xe đã vận hành (lít/100Km)</w:t>
            </w:r>
          </w:p>
        </w:tc>
      </w:tr>
      <w:tr w:rsidR="00000000">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000000" w:rsidRDefault="009A6E58">
            <w:pPr>
              <w:spacing w:before="120"/>
              <w:jc w:val="center"/>
            </w:pPr>
          </w:p>
        </w:tc>
        <w:tc>
          <w:tcPr>
            <w:tcW w:w="0" w:type="auto"/>
            <w:gridSpan w:val="4"/>
            <w:vMerge/>
            <w:tcBorders>
              <w:top w:val="single" w:sz="8" w:space="0" w:color="auto"/>
              <w:left w:val="nil"/>
              <w:bottom w:val="single" w:sz="8" w:space="0" w:color="auto"/>
              <w:right w:val="single" w:sz="8" w:space="0" w:color="auto"/>
              <w:tl2br w:val="nil"/>
              <w:tr2bl w:val="nil"/>
            </w:tcBorders>
            <w:shd w:val="clear" w:color="auto" w:fill="auto"/>
            <w:vAlign w:val="center"/>
          </w:tcPr>
          <w:p w:rsidR="00000000" w:rsidRDefault="009A6E58">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000000" w:rsidRDefault="009A6E58">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000000" w:rsidRDefault="009A6E58">
            <w:pPr>
              <w:spacing w:before="120"/>
              <w:jc w:val="cente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000000" w:rsidRDefault="009A6E58">
            <w:pPr>
              <w:spacing w:before="120"/>
              <w:jc w:val="center"/>
            </w:pP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Xe hoạt động đến 90.000 km</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Xe hoạt động trên 90.000 km đến 180.000 km</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Xe hoạt động trên 180.000 km</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I</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TOYOTA</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Zace GL 1.8</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r>
              <w:t>781</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Hiace RZH</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2.438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14.3</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14.9</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Corolla Altis 1.8</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1.794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10.4</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10.8</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Camry 2.2</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2.164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Camry 2.4G</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2.362</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Camry 3.0V</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2.995</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15.6</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Camry 3.5G</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3.456</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15.6</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16.3</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16.9</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Land Cruiser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4.477</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20.0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20.8</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21.6</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Land Cruiser Pradogx</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2.694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20.0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Innova G</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Innova J</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Corolla</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1.587</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Crown</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2.759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Hilux bán tải</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2.779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Land Cruiser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4.664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22.5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23.5</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Land Cruiser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4.477</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16.9</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17.6</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Land Cruiser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2.779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lastRenderedPageBreak/>
              <w:t>18</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Land Cruiser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4.164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15.6</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16.3</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16.9</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II</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MAZDA</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Mazda 3AT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1.598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11.5</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Mazda MT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1.598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10.6</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11.1</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Mazda 6 2.3L</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2.261</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Mazda 6 2.0L</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Maz</w:t>
            </w:r>
            <w:r>
              <w:t>da E2000</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2.184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15.6</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Mazda 626</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1.991</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III</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NISSAN</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TERRNO</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2.389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14.3</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14.9</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PATROL</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4.169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16.9</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17.6</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PATROL</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2.96</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14.4</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lang w:val="en-US"/>
              </w:rPr>
              <w:t>U</w:t>
            </w:r>
            <w:r>
              <w:t>RVAN</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2.494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w:t>
            </w:r>
            <w:r>
              <w:t>.0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BLUEBIRD</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1.974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13.1</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IV</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MITSUBISHI</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GRANDIS</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2.378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15.6</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Lancer Gala 1.6AT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1.584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Lancer Gala 1.6MT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1.584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Lancer Gala 2.0</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w:t>
            </w:r>
            <w:r>
              <w:t>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14.3</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14.9</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JOLIE MB</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1.997</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11.1</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13.9</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14.4</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 xml:space="preserve">JOLIE </w:t>
            </w:r>
            <w:r>
              <w:rPr>
                <w:lang w:val="en-US"/>
              </w:rPr>
              <w:t>SS</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1.997</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11.1</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13.9</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14.4</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PAJERO</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2.351</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16.7</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18.7</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PAJERO V6</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2.972</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20.0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PAJERO Supreme</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3.497</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18.1</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18.9</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19.6</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Mitsubish</w:t>
            </w:r>
            <w:r>
              <w:t>i L300</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1.997</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11.3</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14.1</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15.3</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PAJERO</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3.2</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14.4</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PAJERO</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2.555</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Triton GL</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2.351</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6.6</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8.6</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8.9</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Triton GLS, GLX</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Dầu</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2.5</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6.6</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8.6</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8.9</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V</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ISUZU</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Hi-Lander LX Limited</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w:t>
            </w:r>
            <w:r>
              <w:t>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9.1</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Hi-Lander V-Spec MT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r>
              <w:rPr>
                <w:lang w:val="en-US"/>
              </w:rPr>
              <w:t>.</w:t>
            </w:r>
            <w:r>
              <w:t>499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9.1</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Hi-Lander X-Treme MT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9.1</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Hi-Lander X-Treme AT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 xml:space="preserve">D-Max </w:t>
            </w:r>
            <w:r>
              <w:rPr>
                <w:lang w:val="en-US"/>
              </w:rPr>
              <w:t>S</w:t>
            </w:r>
            <w:r>
              <w:t xml:space="preserve"> (2.5MT)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10.6</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11.1</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 xml:space="preserve">D-Max </w:t>
            </w:r>
            <w:r>
              <w:rPr>
                <w:lang w:val="en-US"/>
              </w:rPr>
              <w:t>S</w:t>
            </w:r>
            <w:r>
              <w:t xml:space="preserve"> (3.0MT)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w:t>
            </w:r>
            <w:r>
              <w:t>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10.6</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11.1</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 xml:space="preserve">D-Max </w:t>
            </w:r>
            <w:r>
              <w:rPr>
                <w:lang w:val="en-US"/>
              </w:rPr>
              <w:t>S</w:t>
            </w:r>
            <w:r>
              <w:t xml:space="preserve"> (3.0AT) FSE</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11.5</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D-Max LS (3.0AT) FSE</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11.5</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D-Max LS (3.0MT) FSE</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10.6</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11.1</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 xml:space="preserve">Hi-Lander V-Spec </w:t>
            </w:r>
            <w:r>
              <w:rPr>
                <w:lang w:val="fr-FR"/>
              </w:rPr>
              <w:t>SC</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9.1</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TR</w:t>
            </w:r>
            <w:r>
              <w:t>OOPER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3.165</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20.0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VI</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HONDA</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Accor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2.156</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15.6</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Civic 2.0L</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13.6</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15.7</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Civic 1.8L</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VII</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HUYNDAI</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Elantra</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1.591</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9.1</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Son</w:t>
            </w:r>
            <w:r>
              <w:t>ata Elegance</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8.4</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10.9</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11.3</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Santa Fe</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2.655</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Santa Fe</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2.188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11.9</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12.4</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12.8</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Santa Fe Specs SE (Limited</w:t>
            </w:r>
            <w:r>
              <w:rPr>
                <w:lang w:val="en-US"/>
              </w:rPr>
              <w: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3.300</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14.3</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14.9</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Santa Fe MLX</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11.9</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12.4</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12.8</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Veracruz Specs</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15.6</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Thaco (39 chỗ ngồi)</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6.606</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25.0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26.0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27.0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VIII</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DAEWOO</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Matis</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796</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6.5</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6.8</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Magnus L6 2.5</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2.492</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Lacetti EX</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10.4</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10.8</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Gentra</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1.498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6.7</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8.4</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Chevrolet Capiva</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1.589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Lanos</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1.498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9.1</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Nubira</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1.498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10.4</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10.8</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IX</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FORD</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Ranger XLT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13.1</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Transit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2.402</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Transi</w:t>
            </w:r>
            <w:r>
              <w:t>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2.295</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14.4</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Mondeo 2.0AT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10.2</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13.3</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13.8</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Mondeo 2.5 V6</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2.495</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11.2</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14.6</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15.1</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Escape XLS 2.3AT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2.261</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10.4</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13.5</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Escape XLS 3.0AT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2.967</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12.6</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15.8</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16.4</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Everest 4x2 2.6L</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r>
              <w:t>.606</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11.3</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14.1</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15.3</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Everest 4x2 2.5L</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11.9</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12.4</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12.8</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Laser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1.84</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10.3</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12.9</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13.4</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13.9</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Focus 1.6</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1.598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6.9</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7.2</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7.4</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Focus 1.8</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1.798</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7.8</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8.1</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Focus 2.0MT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6.4</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8.0</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8.3</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8.6</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Focus 2.0A</w:t>
            </w:r>
            <w:r>
              <w:t>T</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1.999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7.6</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9.5</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9.9</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10.3</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Ranger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2.606</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10.5</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13.1</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X</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UAZ</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Uaz 469</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2.445</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16.9</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17.6</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Uaz (tải)</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2.455</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16.9</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17.6</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XI</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LIFAN</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Lifan</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1.589</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9.0</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11.3</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11.7</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12.2</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rPr>
                <w:b/>
                <w:bCs/>
              </w:rPr>
              <w:t>B</w:t>
            </w:r>
          </w:p>
        </w:tc>
        <w:tc>
          <w:tcPr>
            <w:tcW w:w="4807"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THEO MỨC TIÊU H</w:t>
            </w:r>
            <w:r>
              <w:rPr>
                <w:b/>
                <w:bCs/>
              </w:rPr>
              <w:t>AO NHIÊN LIỆU THỰC TẾ</w:t>
            </w:r>
          </w:p>
        </w:tc>
        <w:tc>
          <w:tcPr>
            <w:tcW w:w="4807"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THEO MỨC TIÊU HAO NHIÊN LIỆU THỰC TẾ</w:t>
            </w:r>
          </w:p>
        </w:tc>
        <w:tc>
          <w:tcPr>
            <w:tcW w:w="4807"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THEO MỨC TIÊU HAO NHIÊN LIỆU THỰC TẾ</w:t>
            </w:r>
          </w:p>
        </w:tc>
        <w:tc>
          <w:tcPr>
            <w:tcW w:w="4807" w:type="dxa"/>
            <w:gridSpan w:val="4"/>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rPr>
                <w:b/>
                <w:bCs/>
              </w:rPr>
              <w:t>THEO MỨC TIÊU HAO NHIÊN LIỆU THỰC TẾ</w:t>
            </w:r>
          </w:p>
        </w:tc>
        <w:tc>
          <w:tcPr>
            <w:tcW w:w="1070" w:type="dxa"/>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30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116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Toyota Fortuner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21.5</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21.5</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21.5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Kia CERATO</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Toyota Crown (số tự động)</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20.0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20.0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20.0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Toyota Gasqgnl</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36.0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36.0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36.0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Kia Bongo III</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6</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Nissan bán tải</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7</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Isuzu tải</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8</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Huyndai Caunti</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22.0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22.0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22.0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9</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Huyndai H</w:t>
            </w:r>
            <w:r>
              <w:rPr>
                <w:lang w:val="en-US"/>
              </w:rPr>
              <w:t>1</w:t>
            </w:r>
            <w:r>
              <w:t>00</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15.5</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15.5</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10</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Huyndai Poster</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11</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Huyndai 165</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12</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Huyndai cứu thương</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15.5</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15.5</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15.5</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13</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Ford E150</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29.0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14</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Zin 130</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38.0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38.0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38.0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15</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Nissan Morita</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38.0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38.0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38.0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16</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Nissan Brand</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39.0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39.0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39.0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17</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Xe thang MAM</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41.0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41.0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41.0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18</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Maza Morita</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Diesel</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38.0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38.0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38.0</w:t>
            </w:r>
          </w:p>
        </w:tc>
      </w:tr>
      <w:tr w:rsidR="00000000">
        <w:tblPrEx>
          <w:tblBorders>
            <w:top w:val="none" w:sz="0" w:space="0" w:color="auto"/>
            <w:bottom w:val="none" w:sz="0" w:space="0" w:color="auto"/>
            <w:insideH w:val="none" w:sz="0" w:space="0" w:color="auto"/>
            <w:insideV w:val="none" w:sz="0" w:space="0" w:color="auto"/>
          </w:tblBorders>
        </w:tblPrEx>
        <w:tc>
          <w:tcPr>
            <w:tcW w:w="62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19</w:t>
            </w:r>
          </w:p>
        </w:tc>
        <w:tc>
          <w:tcPr>
            <w:tcW w:w="2255" w:type="dxa"/>
            <w:gridSpan w:val="4"/>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pPr>
            <w:r>
              <w:t>Doog Feng</w:t>
            </w:r>
          </w:p>
        </w:tc>
        <w:tc>
          <w:tcPr>
            <w:tcW w:w="82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Xăng</w:t>
            </w:r>
          </w:p>
        </w:tc>
        <w:tc>
          <w:tcPr>
            <w:tcW w:w="93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79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 </w:t>
            </w:r>
          </w:p>
        </w:tc>
        <w:tc>
          <w:tcPr>
            <w:tcW w:w="3541" w:type="dxa"/>
            <w:h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46.0</w:t>
            </w:r>
          </w:p>
        </w:tc>
        <w:tc>
          <w:tcPr>
            <w:tcW w:w="3541" w:type="dxa"/>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46.0</w:t>
            </w:r>
          </w:p>
        </w:tc>
        <w:tc>
          <w:tcPr>
            <w:tcW w:w="3541" w:type="dxa"/>
            <w:gridSpan w:val="3"/>
            <w:hMerge/>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00000" w:rsidRDefault="009A6E58">
            <w:pPr>
              <w:spacing w:before="120"/>
              <w:jc w:val="center"/>
            </w:pPr>
            <w:r>
              <w:t>46.0</w:t>
            </w:r>
          </w:p>
        </w:tc>
      </w:tr>
    </w:tbl>
    <w:p w:rsidR="00000000" w:rsidRDefault="009A6E58">
      <w:pPr>
        <w:spacing w:before="120" w:after="280" w:afterAutospacing="1"/>
      </w:pPr>
      <w:r>
        <w:rPr>
          <w:b/>
          <w:bCs/>
        </w:rPr>
        <w:t>B. ĐỊNH MỨC TIÊU HAO DẦU MỠ PHỤ</w:t>
      </w:r>
    </w:p>
    <w:p w:rsidR="00000000" w:rsidRDefault="009A6E58">
      <w:pPr>
        <w:spacing w:before="120" w:after="280" w:afterAutospacing="1"/>
      </w:pPr>
      <w:r>
        <w:t>Số lượng, km vận hành phải thay dầu tính t</w:t>
      </w:r>
      <w:r>
        <w:t>heo chu kỳ của từng loại xe theo quy định của nhà sản xuất.</w:t>
      </w:r>
    </w:p>
    <w:p w:rsidR="00000000" w:rsidRDefault="009A6E58">
      <w:pPr>
        <w:spacing w:before="120" w:after="280" w:afterAutospacing="1"/>
      </w:pPr>
      <w:r>
        <w:t>1. Dầu bôi trơn động cơ: Cấp phát theo định kỳ 4.000 km/01 lần;</w:t>
      </w:r>
    </w:p>
    <w:p w:rsidR="00000000" w:rsidRDefault="009A6E58">
      <w:pPr>
        <w:spacing w:before="120" w:after="280" w:afterAutospacing="1"/>
      </w:pPr>
      <w:r>
        <w:t>2. Dầu bôi trơn hệ thống truyền động: Cấp phát định kỳ 20.000 km/01 lần;</w:t>
      </w:r>
    </w:p>
    <w:p w:rsidR="00000000" w:rsidRDefault="009A6E58">
      <w:pPr>
        <w:spacing w:before="120" w:after="280" w:afterAutospacing="1"/>
      </w:pPr>
      <w:r>
        <w:t xml:space="preserve">3. Mỡ bôi trơn các loại: Cấp phát định kỳ 20.000 km/01 lần </w:t>
      </w:r>
      <w:r>
        <w:t>bảo dưỡng.</w:t>
      </w:r>
    </w:p>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E58" w:rsidRDefault="009A6E58" w:rsidP="009A6E58">
      <w:r>
        <w:separator/>
      </w:r>
    </w:p>
  </w:endnote>
  <w:endnote w:type="continuationSeparator" w:id="1">
    <w:p w:rsidR="009A6E58" w:rsidRDefault="009A6E58" w:rsidP="009A6E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6E58" w:rsidRDefault="009A6E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6E58" w:rsidRPr="009A6E58" w:rsidRDefault="009A6E58">
    <w:pPr>
      <w:pStyle w:val="Footer"/>
      <w:rPr>
        <w:b/>
        <w:color w:val="FF0000"/>
        <w:sz w:val="36"/>
      </w:rPr>
    </w:pPr>
    <w:r>
      <w:rPr>
        <w:rFonts w:ascii="Arial" w:hAnsi="Arial"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6E58" w:rsidRDefault="009A6E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E58" w:rsidRDefault="009A6E58" w:rsidP="009A6E58">
      <w:r>
        <w:separator/>
      </w:r>
    </w:p>
  </w:footnote>
  <w:footnote w:type="continuationSeparator" w:id="1">
    <w:p w:rsidR="009A6E58" w:rsidRDefault="009A6E58" w:rsidP="009A6E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6E58" w:rsidRDefault="009A6E5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6E58" w:rsidRPr="009A6E58" w:rsidRDefault="009A6E58">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6E58" w:rsidRDefault="009A6E5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6E58"/>
    <w:rsid w:val="009A6E58"/>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6E58"/>
    <w:pPr>
      <w:tabs>
        <w:tab w:val="center" w:pos="4513"/>
        <w:tab w:val="right" w:pos="9026"/>
      </w:tabs>
    </w:pPr>
  </w:style>
  <w:style w:type="character" w:customStyle="1" w:styleId="HeaderChar">
    <w:name w:val="Header Char"/>
    <w:basedOn w:val="DefaultParagraphFont"/>
    <w:link w:val="Header"/>
    <w:uiPriority w:val="99"/>
    <w:semiHidden/>
    <w:rsid w:val="009A6E58"/>
    <w:rPr>
      <w:sz w:val="24"/>
      <w:szCs w:val="24"/>
    </w:rPr>
  </w:style>
  <w:style w:type="paragraph" w:styleId="Footer">
    <w:name w:val="footer"/>
    <w:basedOn w:val="Normal"/>
    <w:link w:val="FooterChar"/>
    <w:uiPriority w:val="99"/>
    <w:semiHidden/>
    <w:unhideWhenUsed/>
    <w:rsid w:val="009A6E58"/>
    <w:pPr>
      <w:tabs>
        <w:tab w:val="center" w:pos="4513"/>
        <w:tab w:val="right" w:pos="9026"/>
      </w:tabs>
    </w:pPr>
  </w:style>
  <w:style w:type="character" w:customStyle="1" w:styleId="FooterChar">
    <w:name w:val="Footer Char"/>
    <w:basedOn w:val="DefaultParagraphFont"/>
    <w:link w:val="Footer"/>
    <w:uiPriority w:val="99"/>
    <w:semiHidden/>
    <w:rsid w:val="009A6E58"/>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1568</Words>
  <Characters>8939</Characters>
  <Application>Microsoft Office Word</Application>
  <DocSecurity>0</DocSecurity>
  <Lines>74</Lines>
  <Paragraphs>20</Paragraphs>
  <ScaleCrop>false</ScaleCrop>
  <Company>Grizli777</Company>
  <LinksUpToDate>false</LinksUpToDate>
  <CharactersWithSpaces>10487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2</cp:revision>
  <cp:lastPrinted>1601-01-01T00:00:00Z</cp:lastPrinted>
  <dcterms:created xsi:type="dcterms:W3CDTF">2015-07-09T10:56:00Z</dcterms:created>
  <dcterms:modified xsi:type="dcterms:W3CDTF">2015-07-09T10:56:00Z</dcterms:modified>
</cp:coreProperties>
</file>