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TỈNH LÂM ĐỒNG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1758/QĐ-UBND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Lâm Đồng, ngày 18 tháng 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PHÊ DUYỆT ĐỀ ÁN HỖ TRỢ PHÁT TRIỂN HỆ THỐNG AO, HỒ NHỎ PHỤC VỤ CHƯƠNGTRÌNH XÂY DỰNG NÔNG THÔN MỚI TỈNH LÂM ĐỒNG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LÂM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491/QĐ-TTgngày 16/4/2009 của Thủ tướng Chính phủ về việc ban hành Bộ tiêu chí quốc gia vềnông thôn mới và Quyết định số 342/QĐ-TTg ngày 20/02/2013 của Thủ tướng Chínhphủ về bổ sung, sửa đổi một số tiêu chí quốc gia về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800/QĐ-TTgngày 04/6/2010 của Thủ tướng Chính phủ phê duyệt Chương trình mục tiêu quốc giavề xây dựng nông thôn mới giai đoạn 2010-2020;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498/QĐ-TTgngày 21/3/2013 của Thủ tướng Chính phủ Bổ sung cơ chế đầu tư Chương trình mụctiêu quốc gia về xây dựng nông thôn mới giai đoạn 2010-2020;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3" w:history="1">
        <w:r>
          <w:rPr>
            <w:rStyle w:val="Hyperlink"/>
            <w:i/>
          </w:rPr>
          <w:t xml:space="preserve">03/2013/TT-BKHĐT </w:t>
        </w:r>
      </w:hyperlink>
      <w:r>
        <w:rPr>
          <w:i/>
        </w:rPr>
        <w:t xml:space="preserve"> ngày 07/8/2013 của Bộ Kế hoạch và Đầu tư hướng dẫn thực hiệnQuyết định số 498/QĐ-TTg ngày 21/3/2013 của Thủ tướng Chính phủ bổ sung cơ chếđầu tư Chương trình mục tiêu quốc gia về xây dựng nông thôn mới giai đoạn 2010-2020;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1457/QĐ-UBNDngày 05/8/2013 của Ủy ban nhân dân tỉnh quy định về tỷ lệ hỗ trợ từ ngân sáchnhà nước và cơ chế, chính sách huy động các nguồn lực để xây dựng nông thôn mớigiai đoạn 2013-2020;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Kế hoạchvà Đầu tư tại Tờ trình số 175/TTr-KHĐT-KTN ngày 22/7/2015,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w:t>
      </w:r>
      <w:r>
        <w:t xml:space="preserve"> Phê duyệt Đề án hỗ trợ phát triển hệ thống ao,hồ nhỏ phục vụ chương trình xây dựng nông thôn mới tỉnh Lâm Đồng đến năm 2020,với những nội dung chủ yếu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Đối tượng, 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áp dụng: Các nhóm hộ giađình, tổ hợp tác, hợp tác xã, trang trại (gọi chung là đối tượng hưởng lợi)thực hiện xây dựng ao, hồ nhỏ để cung cấp nước tưới cho cây trồng cạn, phục vụChương trình xây dựng nông thôn mới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Phạm vi áp dụng: Các xã trên địabàn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Mục tiêu 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Phát triển hệ thống ao, hồ nhỏnhằm chủ động công tác tưới, giải quyết tình trạng thiếu nước, khắc phục hạnhán, tăng năng suất cây trồng, nâng cao đời sống nhân dân, đặc biệt là đồng bàodân tộc thiểu số (DTTS), vùng sâu vùng xa trên địa bàn tỉnh cũng như nâng cao ýthức của người dân trong việc tưới tiết kiệm, giữ gìn nguồn nước và bảo vệ côngtrình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Huy động các nguồn lực đầu tư từnhân dân, doanh nghiệp, các tổ chức kinh tế khác và hỗ trợ từ ngân sách Nhànước để đầu tư xây dựng mới, nạo vét, nâng cấp sửa chữa các ao, hồ nhỏ phục vụsản 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hệ thống ao, hồ nhỏ trởthành phong trào quần chúng rộng lớn, mang tính xã hội hóa theo phương thức"nhân dân làm công trình, nhà nước hỗ trợ" có suất đầu tư thấp, hiệuquả cao, tạo sự đồng thuận trong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Đến năm 2020, phát triển được5.581 ao, hồ nhỏ tương ứng với 558,10 ha diện tích mặt nước, phục vụ tưới cho8.371,50 ha/236.972 ha diện tích cần tưới toàn tỉnh, tỷ lệ tưới tăng thêm 3,53%.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Phấn đấu góp phần hoàn thành mụctiêu đến năm 2020 có trên 65% diện tích gieo trồng được tưới và hoàn thành tiêuchí về thủy lợi trong Chương trình xây dựng nông thôn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Phương thức, quy mô, tiêu chívà cơ chế hỗ trợ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Đào ao, hồ nhỏ là giải pháp thủy lợiđể tích trữ nguồn nước về ao, hồ nhằm tạo nguồn và dùng động lực để bơm tướicho cây trồng. Ao, hồ nhỏ là công trình thủy lợi đơn giản, dung tích và diệntích phục vụ tưới nhỏ không có khả năng điều tiết cũng như cắt giảm lũ, đượcxây dựng tại các vị trí có nguồn sinh thủy (mạch ngầm, lưu vực, thềm suối...)do nhân dân tự làm hoặc nhân dân làm nhà nước hỗ trợ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Phương thức thực hiện, quy mô,tiêu chí hỗ trợ đào ao, hồ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Phương thức thực hiện “nhân dânlàm công trình, nhà nước hỗ trợ ca máy”: Các đối tượng hưởng lợi đóng góp côngsức, kinh phí, đất đai để đào ao, hồ (không tính toán đền bù, giải phóng mặtbằng), tự duy tu, bảo dưỡng công trình trong quá trình khai thác sử dụng; Nhànước hỗ trợ một phần kinh phí ca máy để thực hiện đào ao,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Quy mô ao,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Mỗi ao, hồ nhỏ phải có diện tích tối thiểu 500 m</w:t>
      </w:r>
      <w:r>
        <w:rPr>
          <w:vertAlign w:val="superscript"/>
        </w:rPr>
        <w:t xml:space="preserve">2</w:t>
      </w:r>
      <w:r>
        <w:t xml:space="preserve">;dung tích tối thiểu 1.500m</w:t>
      </w:r>
      <w:r>
        <w:rPr>
          <w:vertAlign w:val="superscript"/>
        </w:rPr>
        <w:t xml:space="preserve">3</w:t>
      </w:r>
      <w:r>
        <w:t xml:space="preserve">; đảm bảo cung cấp nước phục vụ tưới,chống hạn cho tối thiểu 03 hộ dân hoặc tổ hợp tác, hợp tác xã, trang trại.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số mái đào ao, hồ tùy thuộc vào địa chất; đốivới địa chất tương đối tốt hệ số mái tối thiểu m = 0,5, tại khu vực có địa chấtyếu hệ số mái có thể thay đổi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ao, hồ có chiều sâu đào từ 3m đến 5m phảibố trí đường cơ để đảm bảo an toàn cho người và chống trượt mái.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Tiêu chí thực hiện đào ao, hồ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quy mô đáp ứng quy định tại điểm b, khoản 1,mục III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Ao, hồ phải được xây dựng tại nơi có mạch nướcngầm, khe lạch, nơi tụ thủy, có lưu vực để đảm bảo nguồn nước về ao,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đào ao, hồ ở những vùng không có côngtrình thủy lợi, cách xa sông suối lớn. Hình dạng ao, hồ tùy thuộc vào địa hìnhvà khu đất để đào cho hợp lý, không quy định cụ thể nhưng phải đáp ứng đượcđiều kiện về diện tích ao, hồ dung tích trữ nước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Có giải pháp chống bồi lắng; hàng rào bảo vệquanh hồ, biển báo độ sâu để cảnh báo nguy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đối tượng hưởng lợi tự tổ chức thi công côngtrình; tự quản lý vận hành công trình sau đầu tư; có phương án chia sẻ nguồnnước tưới trong các đối tượng hưởng lợi để phục vụ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Về quỹ đất đào ao,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đối tượng hưởng lợi góp đất để đào ao, hồ(không tính toán đền bù,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do UBND xã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chế hỗ trợ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ao, hồ nhỏ thực hiện tại xã đặc biệt khókhăn, xã 30a, thôn nghèo, xã nghèo: ngân sách Nhà nước hỗ trợ tối đa 70% giátrị ca máy đào.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ao, hồ nhỏ thực hiện tại các xã, thôncòn lại (trừ các đối tượng điểm a, khoản 2, mục III nêu trên): ngân sách Nhànước hỗ trợ tối đa 50% giá trị ca máy đào.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UBND cấp huyện căn cứ điều kiện kinh tế - xãhội, đời sống và khả năng đóng góp của cộng đồng dân cư ở các khu vực trên địabàn để quyết định mức hỗ trợ cụ thể, nhưng không quá mức hỗ trợ tối đa theo quyđịnh nêu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Hồ sơ đề nghị hỗ trợ đào ao, hồ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xin phép đào ao, hồ (đại diện đối tượnghưởng lợi ký tên).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Biên bản cam kết sử dụng chung nguồn nước giữacác đối tượng hưởng lợi (được UBND cấp xã và Ban nhân dân thôn xác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Giấy chứng nhận quyền sử dụng đất (bản phô tô cóchứng thực) kèm theo họa đồ xác định vị trí đào ao, hồ, có xác nhận vị trí củađịa chính xã trên bản đồ giải thửa; trường hợp vị trí đào ao, hồ chưa được cấpgiấy chứng nhận quyền sử dụng đất hoặc là đất công...thì phải có xác nhận củaUBND xã về nguồn gốc đất và được sự đồng ý cho phép của đơn vị đang quản lý sửdụng.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Biên bản xác minh hiện trạng, vị trí ao, hồ dựkiến đào gồm có đại diện các đối tượng hưởng lợi, thôn,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Quy mô đào ao, hồ; dự kiến kinh phí xin hỗ trợđào ao, hồ.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Quy trình lập kế hoạch, quyết định đầu tư,thực hiện và duy tu bảo dưỡng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trình lập kế hoạch đào ao, hồ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Nguyên tắc lập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tác lập kế hoạch phát triển hệ thống ao, hồphải tiến hành theo trình tự cụ thể đi từ dưới lên trên; gắn đầu tư xây dựngmới với duy tu bảo dưỡng, nạo vét, nâng cấp hệ thống ao, hồ hiện có để tiếtkiệm chi phí đầu tư, từng bước hoàn thiện hệ thống thủy lợi tại từng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lập kế hoạch đào ao, hồ được phải phù hợpvới định hướng, cơ cấu cây trồng của từng địa phương, tránh trường hợp đầu tưkhông đúng mục đích, không mang lại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và phê duyệt kế hoạch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các huyện, thành phố Bảo Lộc và Đà Lạt (sauđây gọi tắt là UBND cấp huyện) tổ chức tuyên truyền, phổ biến chủ trương, chínhsách đầu tư phát triển đào ao, hồ nhỏ của tỉnh; tổ chức họp dân; công bố mức hỗtrợ của Nhà nước và mức đóng góp của nhân dân trong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cấp huyện tiến hành rà soát, tổng hợp nhucầu đào ao, hồ nhỏ tại địa phương để xây dựng và phê duyệt kế hoạch phát triểnhệ thống ao, hồ nhỏ của địa phương đến năm 2020 làm cơ sở tổ chức thực hiện(việc xây dựng kế hoạch thực hiện phải lấy ý kiến của xã và ý kiến của nhândân).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bước lập, phê duyệt kế hoạch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đối tượng hưởng lợi căn cứ nhu cầu, khả năngđóng góp để thống nhất phương án đào ao hồ (có biên bản cam kết của cộng đồngdân cư hoặc các đối tượng hưởng lợi), lập hồ sơ, dự toán chi tiết công trình(thiết kế, dự toán mẫu do Sở Nông nghiệp và Phát triển nông thôn hướng dẫn) gửiUBND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xã tổng hợp kế hoạch thực hiện trên địa bàntoàn xã và dự toán chi tiết từng công trình, trình UBND cấp huyện trước ngày30/6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UBND huyện thẩm định và phê duyệt kế hoạch hàngnăm của toàn huyện, đồng thời gửi các sở: Kế hoạch và Đầu tư, Tài chính, Nôngnghiệp và Phát triển nông thôn để tổng hợp, đề xuất UBND tỉnh bố trí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Phân bổ nguồn vốn: Hàng năm, UBND tỉnh căn cứnguồn vốn Trung ương giao, ngân sách địa phương và các nguồn vốn khác, phân bổvốn thực hiện Đề án cho các địa phương; UBND cấp huyện cân đối nhu cầu, nguồnkinh phí được phân bổ để bố trí vốn thực hiện công trình theo thứ tự ưu tiên.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đầu tư và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Cấp quyết định đầu tư: UBND xã là cấp quyết địnhđầu tư, phê duyệt dự toán công trình (dự toán được lập theo hướng đơn giản hóa,theo mẫu thống nhất do Sở Nông nghiệp và Phát triển nông thôn hướng dẫn).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UBND cấp huyện có trách nhiệm chỉ định cơ quanchuyên môn trực thuộc của huyện hỗ trợ UBND cấp xã trong công tác thẩm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đầu tư: Các đối tượng hưởng lợi từ côngtrình.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 công công trình: Giao cho cộng đồng dân cưhoặc các đối tượng hưởng lợi trực tiếp từ công trình tự tổ chức thực hiện.Trường hợp cộng đồng dân cư hoặc các đối tượng hưởng lợi không có khả năng hoặckhông có điều kiện thực hiện thì xem xét lựa chọn nhóm thợ hoặc cá nhân trongxã, thôn, xóm có đủ năng lực để thực hiện nhưng phải được sự thống nhất củacộng đồng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giám sát cộng đồng trong quá trình đầutư xây dựng: UBND cấp xã thành lập Ban Giám sát cộng đồng với sự tham gia củađại diện HĐND, Ủy ban MTTQ Việt Nam, các tổ chức đoàn thể, đại diện cộng đồngdân cư hưởng lợi. Ban giám sát cộng đồng thực hiện công việc theo quy định tạiQuyết định số 80/2005/QĐ-TTg ngày 18/4/2005 của Thủ tướng Chính phủ về việc banhành quy chế giám sát đầu tư của cộng đồng; Thông tư liên tịch số 04/2006/TTLT-KH &amp;ĐT-UBTƯMTTQVN-TC ngày 04/12/2006 của liên bộ: Bộ Kế hoạchvà Đầu tư, Ủy ban Trung ương MTTQ Việt Nam và Bộ Tài chính hướng dẫn thực hiệnQuyết định số 80/2005/QĐ-TTg ngày 18/4/2005 của Thủ tướng Chính phủ; Thông tưliên tịch số 26/20011/TTLT-BNNPTNT-BKHĐT-BTC ngày 13/4/2001 của liên bộ: Bộ Nôngnghiệp và Phát triển nông thôn, Bộ Kế hoạch và Đầu tư và Bộ Tài chính về việchướng dẫn một số nội dung thực hiện Quyết định số 800/QĐ-TTg ngày 04/6/2010 củaThủ tướng Chính phủ và các quy định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Nghiệm thu, bàn giao công trình: Chủ đầu tư tổchức nghiệm thu công trình hoàn thành đưa vào sử dụng (thành phần nghiệm thugồm chủ đầu tư và Ban giám sát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Thanh toán, quyết toán công trình hoàn thành: Chủđầu tư lập hồ sơ thanh toán, quyết toán, bao gồm: Quyết định phê duyệt dự toáncông trình, Biên bản nghiệm thu hoàn thành công trình đưa vào sử dụng (có kèmtheo ảnh chụp ao, hồ trước và sau khi hoàn thành), hợp đồng xây dựng (đối vớitrường hợp thuê các nhóm thợ, cá nhân, thuê máy móc thiết bị) và các hóa đơn,chứng từ có liên quan (nếu có) gửi về UBND xã để thanh toán, quyết toán theohướng dẫn của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vận hành và duy tu, bảo dưỡng: Sau khinghiệm thu, UBND xã bàn giao toàn bộ hồ sơ, tài liệu có liên quan đến côngtrình cho các đối tượng hưởng lợi có trách nhiệm quản lý sử dụng và bảo trì;UBND xã có trách nhiệm chỉ đạo, hướng dẫn các đối tượng hưởng lợi huy độngnguồn lực để duy tu, bảo dưỡng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Tổng hợp nhu cầu và kinh phí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Nhu cầu thực hiện giai đoạn 2016-2020: Thực hiệnđào 5.581 ao, hồ nhỏ;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2016: 1.143 ao, hồ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2017: 1.164 ao, hồ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2018: 1.148 ao, hồ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2019: 1.016 ao, hồ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2020: 1.110 ao, hồ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Kinh phí thực hiện: tổng nguồn vốn 125.572triệu đồng,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ngân sách Nhà nước: 62.786 triệu đồng (chiếm50%);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Vốn huy động của nhân dân: 62.786 triệu đồng(chiếm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tại Phụ lục I, II đính kèm.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Nguồn vốn: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 sách nhà nước: từ nguồn vốn đầu tư hàng nămđể thực hiện chương nông thôn mới trong giai đoạn 2016-2020 (ngân sách Trungương, ngân sách tỉnh); vốn lồng ghép từ các chương trình, dự án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Huy động nhân dân: vốn đóng góp của các đốitượng hưởng lợi, đóng góp tự nguyện của cộng đồng dân cư doanh nghiệp, tổ chức,cá nhân trong và ngoài nước (tuỳ theo điều kiện cụ thể của từng nơi, có cáchình thức huy động phù hợp như: đóng góp bằng ngày công lao động; đóng góp bằngtiền; đóng góp đất để đào ao, hồ; việc đóng góp phải đảm bảo nguyên tắc côngbằng, công khai).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Nông nghiệp và Phát triển nông thôn là cơquan thường trực và điều phối thực hiện Đề án, có trách nhiệm phối hợp với cácsở, ngành liên quan và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Tổng hợp, xây dựng kế hoạch hàng năm để triểnkhai thực hiện các mục tiêu, nội dung của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tập huấn cho các địa phương về xác địnhquy mô kỹ thuật, các tiêu chuẩn thiết kế, quy trình quản lý chất lượng kỹthuật, quản lý bảo trì đối với hệ thống ao, hồ nhỏ; hướng dẫn mẫu các loại hồsơ theo hướng đơn giản hóa, bao gồm: Hướng dẫn hồ sơ đào ao, hồ, dự toán ca máyđào, tờ trình thẩm định, quyết định phê duyệt dự toán, hồ sơ nghiệm thu bàngiao công trình đưa vào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Kiểm tra, đôn đốc, theo dõi và tổng hợp tìnhhình thực hiện tại các địa phương; chủ động đề xuất điều chỉnh cơ cấu đầu tư,các cơ chế chính sách và giải pháp phù hợp điều kiện thực tiễn.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Định kỳ 06 tháng và trước ngày 15/12 hàng năm báocáo UBND tỉnh và Bộ Nông nghiệp và Phát triển nông thôn kết quả thực hiện; đồngthời tham mưu UBND tỉnh thực hiện sơ kết, tổng kết kết quả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sở, ngành có liên quantham mưu UBND tỉnh phân bổ nguồn vốn để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mưu UBND tỉnh lồng ghép các nguồn vốn từcác chương trình, dự án khác để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 Hướng dẫn các địa phương lập thủtục thanh toán, quyết toán đối với việc thi công công trình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Hội Nông dân tỉnh: Đẩy mạnh công tác tuyêntruyền sâu rộng trong hội viên nông dân về chủ trương, chính sách này; tích cựcvận động và giúp nông dân hợp tác cùng tham gia xây dựng ao hồ nhỏ theo cơ chếnêu trên; phát động phong trào thi đua nông dân hợp tác, hỗ trợ, giúp đỡ nhautrong phát triển sản xuất nông nghiệp và nhân rộng những điển hình tiên tiến.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sở, ngành liên quan căn cứ chức năng, nhiệmvụ chỉ đạo thực hiện các nội dung, giải pháp của Đề án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UBND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đạo UBND các xã tiến hành rà soát, tổng hợpnhu cầu đào ao, hồ nhỏ, lập danh mục đầu tư công trình và tổ chức thực hiện cácnội dung của Đề án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các phòng, ban chuyên môn hướng dẫn, hỗtrợ UBND các xã trong quá trình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động lồng ghép, bố trí vốn từ ngân sáchhuyện và các chương trình, dự án khác tại địa phương để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Huy động vốn đầu tư từ cộng đồng, các doanhnghiệp, tổ chức, cá nhân trong nước và nguồn vốn hợp pháp từ nước ngoài thamgia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kiểm tra, giám sát, có hình thức độngviên khen thưởng kịp thời đối với các cơ quan, tổ chức, cá nhân có thành tíchxuất sắc trong việc tham gia phát triển ao, hồ nhỏ 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Báo cáo UBND tỉnh tiến độ thực hiện Đề án thôngqua Sở Nông nghiệp và Phát triển nông thôn. Đồng thời phản ánh, kiến nghị, đềxuất những khó khăn, vướng mắc, bất cập (nếu có) để chỉ đạo giải quyết kịp 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UBND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kế hoạch, tổng hợp số lượng đào ao, hồ nhỏhàng năm tại xã, triển khai lấy ý kiến của cộng đồng dân cư để báo cáo UBND cấphuyện.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Phê duyệt dự toán đối với đào ao, hồ nhỏ thựchiện theo phương thức “nhân dân làm công trình, nhà nước hỗ trợ ca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Ban quản lý cấp xã, kiểm tra, giám sátquá trình chuẩn bị đầu tư, thi công xây dựng, sử dụng các nguồn vốn đầu tư xâydựng đào ao, hồ nhỏ.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Hướng dẫn cộng đồng dân cư xây dựng hương ước,quy ước của thôn xóm để thống nhất vận động nhân dân vùng hưởng lợi tự thựchiện việc giải phóng mặt bằng để xây dựng công trình, hiến đất hoặc đóng gópđất khi đầu tư xây dựng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Định kỳ công khai kế hoạch huy động, tổ chứcthực hiện và kết quả đầu tư phát triển đào ao, hồ nhỏ trên địa bàn để nhân dânbiết, đồng thời tạo điều kiện cho cộng đồng tham gia quản lý, giám sát.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Cộng đồng dân cư hoặc các đối tượng hưởng lợi:Đề xuất nhu cầu, thỏa thuận phương án triển khai thực hiện, thực hiện giám sátcộng đồng; thực hiện việc duy tu, bảo dưỡng, vận hành và khai thác công trìnhđạt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UBND tỉnh, Thủ trưởng các sở, ban, ngành,đoàn thể thuộc tỉnh; Chủ tịch UBND các huyện, thành phố Đà Lạt và Bảo Lộc vàThủ trưởng các cơ quan, đơn vị có liên quan căn cứ Quyết định thi hành từ ngàyký./.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Bộ NN&amp;PTNT;</w:t>
            </w:r>
            <w:r>
              <w:rPr/>
              <w:br/>
            </w:r>
            <w:r>
              <w:t xml:space="preserve">- TT TU, TT HĐND tỉnh;</w:t>
            </w:r>
            <w:r>
              <w:rPr/>
              <w:br/>
            </w:r>
            <w:r>
              <w:t xml:space="preserve">- CT, các PCT UBND tỉnh;</w:t>
            </w:r>
            <w:r>
              <w:rPr/>
              <w:br/>
            </w:r>
            <w:r>
              <w:t xml:space="preserve">- Như điều 3;</w:t>
            </w:r>
            <w:r>
              <w:rPr/>
              <w:br/>
            </w:r>
            <w:r>
              <w:t xml:space="preserve">- LĐVP;</w:t>
            </w:r>
            <w:r>
              <w:rPr/>
              <w:br/>
            </w:r>
            <w:r>
              <w:t xml:space="preserve">- Lưu VT, NN.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Đoàn Văn Việt</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HỢP NHU CẦU THỰC HIỆN ĐỀ ÁN PHÁTTRIỂN HỆ THỐNG AO, HỒ NHỎ TỈNH LÂM ĐỒNG GIAI ĐOẠN 2016-2020.</w:t>
      </w:r>
      <w:r>
        <w:rPr/>
        <w:br/>
      </w:r>
      <w:r>
        <w:rPr>
          <w:i/>
        </w:rPr>
        <w:t xml:space="preserve">(Ban hành kèm theo Quyết định số 1758/QĐ-UBND ngày 18/8/2015 của UBND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phương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thực hiện đầu tư</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cộng</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2016</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2017</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2018</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2019</w:t>
            </w:r>
          </w:p>
        </w:tc>
        <w:tc>
          <w:tcPr>
            <w:tcW w:w="0" w:type="auto"/>
            <w:gridSpan w:val="2"/>
            <w:hMerge/>
            <w:shd w:val="clear" w:color="auto" w:fill="auto"/>
            <w:vAlign w:val="center"/>
          </w:tcPr>
          <w:p>
            <w:pP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2020</w:t>
            </w:r>
          </w:p>
        </w:tc>
        <w:tc>
          <w:tcPr>
            <w:tcW w:w="0" w:type="auto"/>
            <w:gridSpan w:val="2"/>
            <w:hMerge/>
            <w:shd w:val="clear" w:color="auto" w:fill="auto"/>
            <w:vAlign w:val="center"/>
          </w:tcPr>
          <w:p>
            <w:pPr/>
          </w:p>
        </w:tc>
        <w:tc>
          <w:tcPr>
            <w:tcW w:w="0" w:type="auto"/>
            <w:gridSpan w:val="2"/>
            <w:hMerge w:val="restart"/>
            <w:vMerge/>
            <w:shd w:val="clear" w:color="auto" w:fill="auto"/>
            <w:vAlign w:val="center"/>
          </w:tcPr>
          <w:p>
            <w:pPr/>
          </w:p>
        </w:tc>
        <w:tc>
          <w:tcPr>
            <w:tcW w:w="0" w:type="auto"/>
            <w:gridSpan w:val="2"/>
            <w:hMerge/>
            <w:v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(10</w:t>
            </w:r>
            <w:r>
              <w:rPr>
                <w:vertAlign w:val="superscript"/>
              </w:rPr>
              <w:t xml:space="preserve">3</w:t>
            </w:r>
            <w:r>
              <w:t xml:space="preserve">m</w:t>
            </w:r>
            <w:r>
              <w:rPr>
                <w:vertAlign w:val="superscript"/>
              </w:rPr>
              <w:t xml:space="preserve">3</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(10</w:t>
            </w:r>
            <w:r>
              <w:rPr>
                <w:vertAlign w:val="superscript"/>
              </w:rPr>
              <w:t xml:space="preserve">3</w:t>
            </w:r>
            <w:r>
              <w:t xml:space="preserve">m</w:t>
            </w:r>
            <w:r>
              <w:rPr>
                <w:vertAlign w:val="superscript"/>
              </w:rPr>
              <w:t xml:space="preserve">3</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(10</w:t>
            </w:r>
            <w:r>
              <w:rPr>
                <w:vertAlign w:val="superscript"/>
              </w:rPr>
              <w:t xml:space="preserve">3</w:t>
            </w:r>
            <w:r>
              <w:t xml:space="preserve"> m</w:t>
            </w:r>
            <w:r>
              <w:rPr>
                <w:vertAlign w:val="superscript"/>
              </w:rPr>
              <w:t xml:space="preserve">3</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(10</w:t>
            </w:r>
            <w:r>
              <w:rPr>
                <w:vertAlign w:val="superscript"/>
              </w:rPr>
              <w:t xml:space="preserve">3</w:t>
            </w:r>
            <w:r>
              <w:t xml:space="preserve">m</w:t>
            </w:r>
            <w:r>
              <w:rPr>
                <w:vertAlign w:val="superscript"/>
              </w:rPr>
              <w:t xml:space="preserve">3</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(10</w:t>
            </w:r>
            <w:r>
              <w:rPr>
                <w:vertAlign w:val="superscript"/>
              </w:rPr>
              <w:t xml:space="preserve">3</w:t>
            </w:r>
            <w:r>
              <w:t xml:space="preserve">m</w:t>
            </w:r>
            <w:r>
              <w:rPr>
                <w:vertAlign w:val="superscript"/>
              </w:rPr>
              <w:t xml:space="preserve">3</w:t>
            </w: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(10</w:t>
            </w:r>
            <w:r>
              <w:rPr>
                <w:vertAlign w:val="superscript"/>
              </w:rPr>
              <w:t xml:space="preserve">3</w:t>
            </w:r>
            <w:r>
              <w:t xml:space="preserve">m</w:t>
            </w:r>
            <w:r>
              <w:rPr>
                <w:vertAlign w:val="superscript"/>
              </w:rPr>
              <w:t xml:space="preserve">3</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 Lạt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Đức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Đơn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Hà</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Đam Rông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Dương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 Linh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Lâm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Lộc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 Huoai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ĐạTẻh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Cát Tiên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1.143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1.164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1.746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1.148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1.722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1.110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1.665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5.581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8.379</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VỐN THỰC HIỆN VÀ PHÂN KỲ ĐẦU TƯ</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Ao, hồ (cái)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5.581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hỗ trợ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62.786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Nhân dân đóng góp (triệu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62.786</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3-2013-tt-bkhdt-cua-bo-ke-hoach-va-dau-tu---huong-dan-thuc-hien-quyet-dinh-so-498-qd-ttg-ngay-21-3-2013-cua-thu-tuong-chinh-phu-bo-sung-co-che-dau-tu-chuong-trinh-muc-tieu-quoc-gia-ve-xay.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2022-06-22T11:55:22Z</dcterms:created>
  <dcterms:modified xsi:type="dcterms:W3CDTF">2022-06-22T11:55:22Z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2022-06-22T11:55:22Z</dcterms:created>
  <dcterms:modified xsi:type="dcterms:W3CDTF">2022-06-22T11:55:22Z</dcterms:modified>
</cp:coreProperties>
</file>