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116"/>
        <w:gridCol w:w="6244"/>
      </w:tblGrid>
      <w:tr w:rsidR="00491319" w:rsidRPr="00491319" w14:paraId="4719AB63" w14:textId="77777777" w:rsidTr="00491319">
        <w:trPr>
          <w:tblCellSpacing w:w="15" w:type="dxa"/>
        </w:trPr>
        <w:tc>
          <w:tcPr>
            <w:tcW w:w="3015" w:type="dxa"/>
            <w:shd w:val="clear" w:color="auto" w:fill="FFFFFF"/>
            <w:tcMar>
              <w:top w:w="30" w:type="dxa"/>
              <w:left w:w="30" w:type="dxa"/>
              <w:bottom w:w="30" w:type="dxa"/>
              <w:right w:w="30" w:type="dxa"/>
            </w:tcMar>
            <w:vAlign w:val="center"/>
            <w:hideMark/>
          </w:tcPr>
          <w:p w14:paraId="566CD9ED" w14:textId="77777777" w:rsidR="00491319" w:rsidRPr="00491319" w:rsidRDefault="00491319" w:rsidP="00491319">
            <w:pPr>
              <w:jc w:val="center"/>
              <w:rPr>
                <w:rFonts w:ascii="Times New Roman" w:hAnsi="Times New Roman" w:cs="Times New Roman"/>
              </w:rPr>
            </w:pPr>
            <w:r w:rsidRPr="00491319">
              <w:rPr>
                <w:rFonts w:ascii="Times New Roman" w:hAnsi="Times New Roman" w:cs="Times New Roman"/>
                <w:b/>
                <w:bCs/>
              </w:rPr>
              <w:t>QUỐC HỘI</w:t>
            </w:r>
            <w:r w:rsidRPr="00491319">
              <w:rPr>
                <w:rFonts w:ascii="Times New Roman" w:hAnsi="Times New Roman" w:cs="Times New Roman"/>
              </w:rPr>
              <w:br/>
              <w:t>******</w:t>
            </w:r>
          </w:p>
        </w:tc>
        <w:tc>
          <w:tcPr>
            <w:tcW w:w="6086" w:type="dxa"/>
            <w:shd w:val="clear" w:color="auto" w:fill="FFFFFF"/>
            <w:tcMar>
              <w:top w:w="30" w:type="dxa"/>
              <w:left w:w="30" w:type="dxa"/>
              <w:bottom w:w="30" w:type="dxa"/>
              <w:right w:w="30" w:type="dxa"/>
            </w:tcMar>
            <w:vAlign w:val="center"/>
            <w:hideMark/>
          </w:tcPr>
          <w:p w14:paraId="28F12B5F" w14:textId="77777777" w:rsidR="00491319" w:rsidRPr="00491319" w:rsidRDefault="00491319" w:rsidP="00491319">
            <w:pPr>
              <w:jc w:val="center"/>
              <w:rPr>
                <w:rFonts w:ascii="Times New Roman" w:hAnsi="Times New Roman" w:cs="Times New Roman"/>
              </w:rPr>
            </w:pPr>
            <w:r w:rsidRPr="00491319">
              <w:rPr>
                <w:rFonts w:ascii="Times New Roman" w:hAnsi="Times New Roman" w:cs="Times New Roman"/>
                <w:b/>
                <w:bCs/>
              </w:rPr>
              <w:t>CỘNG HOÀ XÃ HỘI CHỦ NGHĨA VIỆT NAM</w:t>
            </w:r>
            <w:r w:rsidRPr="00491319">
              <w:rPr>
                <w:rFonts w:ascii="Times New Roman" w:hAnsi="Times New Roman" w:cs="Times New Roman"/>
                <w:b/>
                <w:bCs/>
              </w:rPr>
              <w:br/>
              <w:t>Độc lập - Tự do - Hạnh phúc</w:t>
            </w:r>
            <w:r w:rsidRPr="00491319">
              <w:rPr>
                <w:rFonts w:ascii="Times New Roman" w:hAnsi="Times New Roman" w:cs="Times New Roman"/>
              </w:rPr>
              <w:br/>
              <w:t>********</w:t>
            </w:r>
          </w:p>
        </w:tc>
      </w:tr>
      <w:tr w:rsidR="00491319" w:rsidRPr="00491319" w14:paraId="49E46B64" w14:textId="77777777" w:rsidTr="00491319">
        <w:trPr>
          <w:tblCellSpacing w:w="15" w:type="dxa"/>
        </w:trPr>
        <w:tc>
          <w:tcPr>
            <w:tcW w:w="3015" w:type="dxa"/>
            <w:shd w:val="clear" w:color="auto" w:fill="FFFFFF"/>
            <w:tcMar>
              <w:top w:w="30" w:type="dxa"/>
              <w:left w:w="30" w:type="dxa"/>
              <w:bottom w:w="30" w:type="dxa"/>
              <w:right w:w="30" w:type="dxa"/>
            </w:tcMar>
            <w:vAlign w:val="center"/>
            <w:hideMark/>
          </w:tcPr>
          <w:p w14:paraId="3ED0C091"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Số: 83/2007/QH11</w:t>
            </w:r>
          </w:p>
        </w:tc>
        <w:tc>
          <w:tcPr>
            <w:tcW w:w="6086" w:type="dxa"/>
            <w:shd w:val="clear" w:color="auto" w:fill="FFFFFF"/>
            <w:tcMar>
              <w:top w:w="30" w:type="dxa"/>
              <w:left w:w="30" w:type="dxa"/>
              <w:bottom w:w="30" w:type="dxa"/>
              <w:right w:w="30" w:type="dxa"/>
            </w:tcMar>
            <w:vAlign w:val="center"/>
            <w:hideMark/>
          </w:tcPr>
          <w:p w14:paraId="69785F14" w14:textId="77777777" w:rsidR="00491319" w:rsidRPr="00491319" w:rsidRDefault="00491319" w:rsidP="00491319">
            <w:pPr>
              <w:jc w:val="right"/>
              <w:rPr>
                <w:rFonts w:ascii="Times New Roman" w:hAnsi="Times New Roman" w:cs="Times New Roman"/>
              </w:rPr>
            </w:pPr>
            <w:r w:rsidRPr="00491319">
              <w:rPr>
                <w:rFonts w:ascii="Times New Roman" w:hAnsi="Times New Roman" w:cs="Times New Roman"/>
                <w:i/>
                <w:iCs/>
              </w:rPr>
              <w:t>Hà Nội, ngày 02tháng 04 năm 2007</w:t>
            </w:r>
          </w:p>
        </w:tc>
      </w:tr>
    </w:tbl>
    <w:p w14:paraId="5AF8AF19" w14:textId="77777777" w:rsidR="00491319" w:rsidRPr="00491319" w:rsidRDefault="00491319" w:rsidP="00491319">
      <w:pPr>
        <w:jc w:val="center"/>
        <w:rPr>
          <w:rFonts w:ascii="Times New Roman" w:hAnsi="Times New Roman" w:cs="Times New Roman"/>
          <w:b/>
          <w:bCs/>
        </w:rPr>
      </w:pPr>
      <w:r w:rsidRPr="00491319">
        <w:rPr>
          <w:rFonts w:ascii="Times New Roman" w:hAnsi="Times New Roman" w:cs="Times New Roman"/>
          <w:b/>
          <w:bCs/>
        </w:rPr>
        <w:t>LUẬT</w:t>
      </w:r>
    </w:p>
    <w:p w14:paraId="11622EC6" w14:textId="77777777" w:rsidR="00491319" w:rsidRPr="00491319" w:rsidRDefault="00491319" w:rsidP="00491319">
      <w:pPr>
        <w:jc w:val="center"/>
        <w:rPr>
          <w:rFonts w:ascii="Times New Roman" w:hAnsi="Times New Roman" w:cs="Times New Roman"/>
          <w:b/>
          <w:bCs/>
        </w:rPr>
      </w:pPr>
      <w:r w:rsidRPr="00491319">
        <w:rPr>
          <w:rFonts w:ascii="Times New Roman" w:hAnsi="Times New Roman" w:cs="Times New Roman"/>
          <w:b/>
          <w:bCs/>
        </w:rPr>
        <w:t>SỬA ĐỔI, BỔ SUNG MỘT SỐ ĐIỀU CỦA LUẬT TỔ CHỨC QUỐC HỘI</w:t>
      </w:r>
    </w:p>
    <w:p w14:paraId="7EA9097D" w14:textId="77777777" w:rsidR="00491319" w:rsidRPr="00491319" w:rsidRDefault="00491319" w:rsidP="00491319">
      <w:pPr>
        <w:rPr>
          <w:rFonts w:ascii="Times New Roman" w:hAnsi="Times New Roman" w:cs="Times New Roman"/>
        </w:rPr>
      </w:pPr>
      <w:r w:rsidRPr="00491319">
        <w:rPr>
          <w:rFonts w:ascii="Times New Roman" w:hAnsi="Times New Roman" w:cs="Times New Roman"/>
          <w:i/>
          <w:iCs/>
        </w:rPr>
        <w:t>Căn cứ vào Hiến pháp nước Cộng hoà xã hội chủ nghĩa Việt Nam năm 1992 đã được sửa đổi, bổ sung theo Nghị quyết số 51/2001/QH10 ngày 25 tháng 12 năm 2001 của Quốc hội khoá X, kỳ họp thứ 10;</w:t>
      </w:r>
      <w:r w:rsidRPr="00491319">
        <w:rPr>
          <w:rFonts w:ascii="Times New Roman" w:hAnsi="Times New Roman" w:cs="Times New Roman"/>
          <w:i/>
          <w:iCs/>
        </w:rPr>
        <w:br/>
        <w:t>Luật này sửa đổi, bổ sung một số điều của Luật tổ chức Quốc hội đã được Quốc hội nước Cộng hòa xã hội chủ nghĩa Việt Nam thông qua ngày 25 tháng 12 năm 2001.</w:t>
      </w:r>
    </w:p>
    <w:p w14:paraId="35DDFD04" w14:textId="77777777" w:rsidR="00491319" w:rsidRPr="00491319" w:rsidRDefault="00491319" w:rsidP="00491319">
      <w:pPr>
        <w:rPr>
          <w:rFonts w:ascii="Times New Roman" w:hAnsi="Times New Roman" w:cs="Times New Roman"/>
        </w:rPr>
      </w:pPr>
      <w:r w:rsidRPr="00491319">
        <w:rPr>
          <w:rFonts w:ascii="Times New Roman" w:hAnsi="Times New Roman" w:cs="Times New Roman"/>
          <w:b/>
          <w:bCs/>
        </w:rPr>
        <w:t>Điều 1: Sửa đổi, bổ sung một số điều của Luật tổ chức Quốc hội:</w:t>
      </w:r>
    </w:p>
    <w:p w14:paraId="20405EFE"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1. Điều 22 được sửa đổi, bổ sung như sau:</w:t>
      </w:r>
    </w:p>
    <w:p w14:paraId="6088F643"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“Điều 22</w:t>
      </w:r>
    </w:p>
    <w:p w14:paraId="015C46D4"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Quốc hội thành lập Hội đồng Dân tộc và các Uỷ ban sau đây:</w:t>
      </w:r>
    </w:p>
    <w:p w14:paraId="4C15E85D"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1. Uỷ ban pháp luật;</w:t>
      </w:r>
    </w:p>
    <w:p w14:paraId="7F801E36"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2. Uỷ ban tư pháp;</w:t>
      </w:r>
    </w:p>
    <w:p w14:paraId="7113EE88"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3. Uỷ ban kinh tế;</w:t>
      </w:r>
    </w:p>
    <w:p w14:paraId="24B2CD6C"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4. Uỷ ban tài chính, ngân sách;</w:t>
      </w:r>
    </w:p>
    <w:p w14:paraId="7A7F5F01"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5. Uỷ ban quốc phòng và an ninh;</w:t>
      </w:r>
    </w:p>
    <w:p w14:paraId="036CA11A"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6. Uỷ ban văn hoá, giáo dục, thanh niên, thiếu niên và nhi đồng;</w:t>
      </w:r>
    </w:p>
    <w:p w14:paraId="796D201C"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7. Uỷ ban về các vấn đề xã hội;</w:t>
      </w:r>
    </w:p>
    <w:p w14:paraId="6A75BED1"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8. Uỷ ban khoa học, công nghệ và môi trường;</w:t>
      </w:r>
    </w:p>
    <w:p w14:paraId="42264073"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9. Uỷ ban đối ngoại.”</w:t>
      </w:r>
    </w:p>
    <w:p w14:paraId="50836487"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2. Điều 27 được sửa đổi, bổ sung như sau:</w:t>
      </w:r>
    </w:p>
    <w:p w14:paraId="5BB46655"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“Điều 27</w:t>
      </w:r>
    </w:p>
    <w:p w14:paraId="32C6BC2C"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Uỷ ban pháp luật có những nhiệm vụ và quyền hạn sau đây:</w:t>
      </w:r>
    </w:p>
    <w:p w14:paraId="0D2DB00A"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lastRenderedPageBreak/>
        <w:t>1. Thẩm tra dự kiến của Chính phủ về chương trình xây dựng luật, pháp lệnh, đề nghị của cơ quan khác, tổ chức, đại biểu Quốc hội về xây dựng luật, pháp lệnh, kiến nghị của đại biểu Quốc hội về luật, pháp lệnh;</w:t>
      </w:r>
    </w:p>
    <w:p w14:paraId="2CC7311F"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2. Thẩm tra dự án luật, dự án pháp lệnh về dân sự, hành chính, về tổ chức bộ máy nhà nước, trừ tổ chức bộ máy của các cơ quan tư pháp; thẩm tra các dự án khác do Quốc hội, Uỷ ban thường vụ Quốc hội giao;</w:t>
      </w:r>
    </w:p>
    <w:p w14:paraId="70B442A8"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3. Bảo đảm tính hợp hiến, hợp pháp và tính thống nhất của hệ thống pháp luật đối với các dự án luật, dự án pháp lệnh trước khi trình Quốc hội, Uỷ ban thường vụ Quốc hội thông qua;</w:t>
      </w:r>
    </w:p>
    <w:p w14:paraId="4E6E2369"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4. Chủ trì thẩm tra đề án về thành lập, bãi bỏ các bộ, cơ quan ngang bộ; thành lập mới, nhập, chia, điều chỉnh địa giới tỉnh, thành phố trực thuộc trung ương; thành lập hoặc giải thể đơn vị hành chính - kinh tế đặc biệt; báo cáo của Chính phủ về công tác giải quyết khiếu nại, tố cáo của công dân;</w:t>
      </w:r>
    </w:p>
    <w:p w14:paraId="72516110"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5. Giám sát việc thực hiện luật, nghị quyết của Quốc hội, pháp lệnh, nghị quyết của Uỷ ban thường vụ Quốc hội về dân sự, hành chính, về tổ chức bộ máy nhà nước, trừ tổ chức bộ máy của các cơ quan tư pháp; giám sát hoạt động của Chính phủ, các bộ, cơ quan ngang bộ thuộc lĩnh vực Uỷ ban phụ trách;</w:t>
      </w:r>
    </w:p>
    <w:p w14:paraId="37058E8F"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6. Giám sát văn bản quy phạm pháp luật của Chính phủ, Thủ tướng Chính phủ, Bộ trưởng, Thủ trưởng cơ quan ngang bộ, văn bản quy phạm pháp luật liên tịch giữa các cơ quan nhà nước có thẩm quyền ở trung ương hoặc giữa cơ quan nhà nước có thẩm quyền với cơ quan trung ương của tổ chức chính trị - xã hội thuộc lĩnh vực Uỷ ban phụ trách;</w:t>
      </w:r>
    </w:p>
    <w:p w14:paraId="6B3AE594"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7. Kiến nghị các biện pháp cần thiết nhằm hoàn thiện bộ máy nhà nước và hệ thống pháp luật.”</w:t>
      </w:r>
    </w:p>
    <w:p w14:paraId="4D86529B"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3. Bổ sung Điều 27a sau Điều 27 như sau:</w:t>
      </w:r>
    </w:p>
    <w:p w14:paraId="351BD741"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“Điều 27a</w:t>
      </w:r>
    </w:p>
    <w:p w14:paraId="081DB561"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Uỷ ban tư pháp có những nhiệm vụ và quyền hạn sau đây:</w:t>
      </w:r>
    </w:p>
    <w:p w14:paraId="76C3F8C4"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1. Thẩm tra dự án luật, dự án pháp lệnh về hình sự, tố tụng hình sự, tố tụng dân sự, tố tụng hành chính, thi hành án, bổ trợ tư pháp, tổ chức bộ máy của các cơ quan tư pháp và các dự án khác do Quốc hội, Uỷ ban thường vụ Quốc hội giao;</w:t>
      </w:r>
    </w:p>
    <w:p w14:paraId="572B6FB0"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2. Thẩm tra các báo cáo của Chính phủ về công tác phòng ngừa và chống vi phạm pháp luật và tội phạm, công tác thi hành án; thẩm tra các báo cáo công tác của Chánh án Toà án nhân dân tối cao, Viện trưởng Viện kiểm sát nhân dân tối cao; chủ trì thẩm tra báo cáo của Chính phủ về công tác phòng, chống tham nhũng;</w:t>
      </w:r>
    </w:p>
    <w:p w14:paraId="38688FC6"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 xml:space="preserve">3. Giám sát việc thực hiện luật, nghị quyết của Quốc hội, pháp lệnh, nghị quyết của Uỷ ban thường vụ Quốc hội về hình sự, tố tụng hình sự, tố tụng dân sự, tố tụng hành chính, thi hành án, bổ trợ tư pháp, tổ chức bộ máy của các cơ quan tư pháp; giám sát hoạt động của Chính phủ, Toà </w:t>
      </w:r>
      <w:r w:rsidRPr="00491319">
        <w:rPr>
          <w:rFonts w:ascii="Times New Roman" w:hAnsi="Times New Roman" w:cs="Times New Roman"/>
        </w:rPr>
        <w:lastRenderedPageBreak/>
        <w:t>án nhân dân tối cao, Viện kiểm sát nhân dân tối cao trong việc điều tra, truy tố, xét xử, thi hành án, bổ trợ tư pháp;</w:t>
      </w:r>
    </w:p>
    <w:p w14:paraId="1E607ACB"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4. Giám sát văn bản quy phạm pháp luật của Chính phủ, Thủ tướng Chính phủ, Bộ trưởng, Thủ trưởng cơ quan ngang bộ, Toà án nhân dân tối cao, Viện kiểm sát nhân dân tối cao, văn bản quy phạm pháp luật liên tịch giữa các cơ quan nhà nước có thẩm quyền ở trung ương hoặc giữa cơ quan nhà nước có thẩm quyền với cơ quan trung ương của tổ chức chính trị - xã hội thuộc lĩnh vực Uỷ ban phụ trách;</w:t>
      </w:r>
    </w:p>
    <w:p w14:paraId="76538BBE"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5. Giám sát việc phát hiện và xử lý hành vi tham nhũng;</w:t>
      </w:r>
    </w:p>
    <w:p w14:paraId="7E24FB98"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6. Kiến nghị các vấn đề liên quan đến tổ chức, hoạt động của các cơ quan hữu quan và các vấn đề về hình sự, tố tụng hình sự, tố tụng dân sự, tố tụng hành chính, thi hành án, bổ trợ tư pháp, tổ chức bộ máy của các cơ quan tư pháp.”</w:t>
      </w:r>
    </w:p>
    <w:p w14:paraId="6BD4F4EC"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4. Điều 28 được sửa đổi, bổ sung như sau:</w:t>
      </w:r>
    </w:p>
    <w:p w14:paraId="63C4E191"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“Điều 28</w:t>
      </w:r>
    </w:p>
    <w:p w14:paraId="130E5DCE"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Uỷ ban kinh tế có những nhiệm vụ và quyền hạn sau đây:</w:t>
      </w:r>
    </w:p>
    <w:p w14:paraId="2931716B"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1. Thẩm tra dự án luật, dự án pháp lệnh thuộc lĩnh vực quản lý kinh tế, tiền tệ, ngân hàng, hoạt động kinh doanh và các dự án khác do Quốc hội, Uỷ ban thường vụ Quốc hội giao;</w:t>
      </w:r>
    </w:p>
    <w:p w14:paraId="68D8D795"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2. Chủ trì thẩm tra chương trình, dự án, kế hoạch nhà nước về phát triển kinh tế - xã hội; báo cáo của Chính phủ về việc thực hiện nhiệm vụ, kế hoạch phát triển kinh tế – xã hội;</w:t>
      </w:r>
    </w:p>
    <w:p w14:paraId="61D3546E"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3. Giám sát việc thực hiện luật, nghị quyết của Quốc hội, pháp lệnh, nghị quyết của Uỷ ban thường vụ Quốc hội thuộc lĩnh vực quản lý kinh tế, tiền tệ, ngân hàng, hoạt động kinh doanh; chủ trì giám sát hoạt động của Chính phủ, các bộ, cơ quan ngang bộ trong việc thực hiện chương trình, dự án, kế hoạch nhà nước về phát triển kinh tế - xã hội và việc thực hiện chính sách kinh tế, tiền tệ, ngân hàng;</w:t>
      </w:r>
    </w:p>
    <w:p w14:paraId="035AEFFC"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4. Giám sát văn bản quy phạm pháp luật của Chính phủ, Thủ tướng Chính phủ, Bộ trưởng, Thủ trưởng cơ quan ngang bộ, văn bản quy phạm pháp luật liên tịch giữa các cơ quan nhà nước có thẩm quyền ở trung ương hoặc giữa cơ quan nhà nước có thẩm quyền với cơ quan trung ương của tổ chức chính trị - xã hội thuộc lĩnh vực Uỷ ban phụ trách;</w:t>
      </w:r>
    </w:p>
    <w:p w14:paraId="52B538DD"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5. Kiến nghị các vấn đề liên quan đến tổ chức, hoạt động của các cơ quan hữu quan và các vấn đề về quản lý kinh tế, tiền tệ, ngân hàng, hoạt động kinh doanh.”</w:t>
      </w:r>
    </w:p>
    <w:p w14:paraId="0D535778"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5. Bổ sung Điều 28a sau Điều 28 như sau:</w:t>
      </w:r>
    </w:p>
    <w:p w14:paraId="514F609F"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“Điều 28a</w:t>
      </w:r>
    </w:p>
    <w:p w14:paraId="6D3A9F48"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Uỷ ban tài chính, ngân sách có những nhiệm vụ và quyền hạn sau đây:</w:t>
      </w:r>
    </w:p>
    <w:p w14:paraId="7CFD8018"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lastRenderedPageBreak/>
        <w:t>1. Thẩm tra dự án luật, dự án pháp lệnh thuộc lĩnh vực tài chính, ngân sách và các dự án khác do Quốc hội, Uỷ ban thường vụ Quốc hội giao;</w:t>
      </w:r>
    </w:p>
    <w:p w14:paraId="24280B23"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2. Chủ trì thẩm tra dự toán ngân sách nhà nước, phương án phân bổ ngân sách trung ương và tổng quyết toán ngân sách nhà nước;</w:t>
      </w:r>
    </w:p>
    <w:p w14:paraId="2F3FFF47"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3. Giám sát việc thực hiện luật, nghị quyết của Quốc hội, pháp lệnh, nghị quyết của Uỷ ban thường vụ Quốc hội thuộc lĩnh vực tài chính, ngân sách; giám sát hoạt động của Chính phủ, các bộ, cơ quan ngang bộ trong việc thực hiện dự toán ngân sách nhà nước và việc thực hiện chính sách tài chính, ngân sách;</w:t>
      </w:r>
    </w:p>
    <w:p w14:paraId="45311E29"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4. Giám sát văn bản quy phạm pháp luật của Chính phủ, Thủ tướng Chính phủ, Bộ trưởng, Thủ trưởng cơ quan ngang bộ, văn bản quy phạm pháp luật liên tịch giữa các cơ quan nhà nước có thẩm quyền ở trung ương hoặc giữa cơ quan nhà nước có thẩm quyền với cơ quan trung ương của tổ chức chính trị – xã hội thuộc lĩnh vực Uỷ ban phụ trách;</w:t>
      </w:r>
    </w:p>
    <w:p w14:paraId="085EDCCB"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5. Kiến nghị các vấn đề liên quan đến tổ chức, hoạt động của các cơ quan hữu quan và các vấn đề về tài chính, ngân sách.”</w:t>
      </w:r>
    </w:p>
    <w:p w14:paraId="3A491FAE"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6. Điều 34 được sửa đổi, bổ sung như sau:</w:t>
      </w:r>
    </w:p>
    <w:p w14:paraId="22511813"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“Điều 34</w:t>
      </w:r>
    </w:p>
    <w:p w14:paraId="1C155DC8"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Hội đồng dân tộc, các Uỷ ban của Quốc hội trong phạm vi nhiệm vụ, quyền hạn của mình có trách nhiệm sau đây:</w:t>
      </w:r>
    </w:p>
    <w:p w14:paraId="7ABB8311"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1. Tham gia với Uỷ ban kinh tế thẩm tra chương trình, dự án, kế hoạch nhà nước về phát triển kinh tế - xã hội; báo cáo của Chính phủ về việc thực hiện nhiệm vụ, kế hoạch phát triển kinh tế - xã hội;</w:t>
      </w:r>
    </w:p>
    <w:p w14:paraId="06A012F9"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2. Tham gia với Uỷ ban tài chính, ngân sách thẩm tra dự toán ngân sách nhà nước, phương án phân bổ ngân sách trung ương và tổng quyết toán ngân sách nhà nước;</w:t>
      </w:r>
    </w:p>
    <w:p w14:paraId="46048E3C"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3. Tham gia với Uỷ ban pháp luật thẩm tra đề án về thành lập, bãi bỏ các bộ, cơ quan ngang bộ; thành lập mới, nhập, chia, điều chỉnh địa giới tỉnh, thành phố trực thuộc trung ương; thành lập hoặc giải thể đơn vị hành chính - kinh tế đặc biệt; báo cáo của Chính phủ về công tác giải quyết khiếu nại, tố cáo của công dân;</w:t>
      </w:r>
    </w:p>
    <w:p w14:paraId="37D15AFB"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4. Tham gia với Uỷ ban tư pháp thẩm tra báo cáo của Chính phủ về công tác phòng, chống tham nhũng;</w:t>
      </w:r>
    </w:p>
    <w:p w14:paraId="759C1816" w14:textId="77777777" w:rsidR="00491319" w:rsidRPr="00491319" w:rsidRDefault="00491319" w:rsidP="00491319">
      <w:pPr>
        <w:rPr>
          <w:rFonts w:ascii="Times New Roman" w:hAnsi="Times New Roman" w:cs="Times New Roman"/>
        </w:rPr>
      </w:pPr>
      <w:r w:rsidRPr="00491319">
        <w:rPr>
          <w:rFonts w:ascii="Times New Roman" w:hAnsi="Times New Roman" w:cs="Times New Roman"/>
        </w:rPr>
        <w:t>5. Giám sát việc thực hiện ngân sách nhà nước, công tác phòng ngừa tham nhũng thuộc lĩnh vực Hội đồng dân tộc, Uỷ ban phụ trách.”</w:t>
      </w:r>
    </w:p>
    <w:p w14:paraId="0054FA15" w14:textId="77777777" w:rsidR="00491319" w:rsidRPr="00491319" w:rsidRDefault="00491319" w:rsidP="00491319">
      <w:pPr>
        <w:rPr>
          <w:rFonts w:ascii="Times New Roman" w:hAnsi="Times New Roman" w:cs="Times New Roman"/>
        </w:rPr>
      </w:pPr>
      <w:r w:rsidRPr="00491319">
        <w:rPr>
          <w:rFonts w:ascii="Times New Roman" w:hAnsi="Times New Roman" w:cs="Times New Roman"/>
          <w:b/>
          <w:bCs/>
        </w:rPr>
        <w:t>Điều 2: Luật này có hiệu lực thi hành từ ngày 01 tháng 7 năm 2007.</w:t>
      </w:r>
    </w:p>
    <w:p w14:paraId="570AB54B" w14:textId="77777777" w:rsidR="00491319" w:rsidRPr="00491319" w:rsidRDefault="00491319" w:rsidP="00491319">
      <w:pPr>
        <w:rPr>
          <w:rFonts w:ascii="Times New Roman" w:hAnsi="Times New Roman" w:cs="Times New Roman"/>
        </w:rPr>
      </w:pPr>
      <w:r w:rsidRPr="00491319">
        <w:rPr>
          <w:rFonts w:ascii="Times New Roman" w:hAnsi="Times New Roman" w:cs="Times New Roman"/>
          <w:i/>
          <w:iCs/>
        </w:rPr>
        <w:lastRenderedPageBreak/>
        <w:t>Luật này đã được Quốc hội nước Cộng hòa xã hội chủ nghĩa Việt Nam khoá XI, kỳ họp thứ 11 thông qua ngày 02 tháng 4 năm 2007.</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874"/>
        <w:gridCol w:w="6486"/>
      </w:tblGrid>
      <w:tr w:rsidR="00491319" w:rsidRPr="00491319" w14:paraId="6D032DDF" w14:textId="77777777" w:rsidTr="00491319">
        <w:trPr>
          <w:tblCellSpacing w:w="0" w:type="dxa"/>
        </w:trPr>
        <w:tc>
          <w:tcPr>
            <w:tcW w:w="2404" w:type="dxa"/>
            <w:shd w:val="clear" w:color="auto" w:fill="FFFFFF"/>
            <w:tcMar>
              <w:top w:w="30" w:type="dxa"/>
              <w:left w:w="30" w:type="dxa"/>
              <w:bottom w:w="30" w:type="dxa"/>
              <w:right w:w="30" w:type="dxa"/>
            </w:tcMar>
            <w:vAlign w:val="center"/>
            <w:hideMark/>
          </w:tcPr>
          <w:p w14:paraId="50D9EAE5" w14:textId="77777777" w:rsidR="00491319" w:rsidRPr="00491319" w:rsidRDefault="00491319" w:rsidP="00491319">
            <w:pPr>
              <w:rPr>
                <w:rFonts w:ascii="Times New Roman" w:hAnsi="Times New Roman" w:cs="Times New Roman"/>
              </w:rPr>
            </w:pPr>
          </w:p>
        </w:tc>
        <w:tc>
          <w:tcPr>
            <w:tcW w:w="5426" w:type="dxa"/>
            <w:shd w:val="clear" w:color="auto" w:fill="FFFFFF"/>
            <w:tcMar>
              <w:top w:w="30" w:type="dxa"/>
              <w:left w:w="30" w:type="dxa"/>
              <w:bottom w:w="30" w:type="dxa"/>
              <w:right w:w="30" w:type="dxa"/>
            </w:tcMar>
            <w:vAlign w:val="center"/>
            <w:hideMark/>
          </w:tcPr>
          <w:p w14:paraId="53152397" w14:textId="77777777" w:rsidR="00491319" w:rsidRPr="00491319" w:rsidRDefault="00491319" w:rsidP="00491319">
            <w:pPr>
              <w:jc w:val="center"/>
              <w:rPr>
                <w:rFonts w:ascii="Times New Roman" w:hAnsi="Times New Roman" w:cs="Times New Roman"/>
              </w:rPr>
            </w:pPr>
            <w:r w:rsidRPr="00491319">
              <w:rPr>
                <w:rFonts w:ascii="Times New Roman" w:hAnsi="Times New Roman" w:cs="Times New Roman"/>
                <w:b/>
                <w:bCs/>
              </w:rPr>
              <w:t>CHỦ TỊCH QUỐC HỘI</w:t>
            </w:r>
            <w:r w:rsidRPr="00491319">
              <w:rPr>
                <w:rFonts w:ascii="Times New Roman" w:hAnsi="Times New Roman" w:cs="Times New Roman"/>
              </w:rPr>
              <w:br/>
            </w:r>
            <w:r w:rsidRPr="00491319">
              <w:rPr>
                <w:rFonts w:ascii="Times New Roman" w:hAnsi="Times New Roman" w:cs="Times New Roman"/>
              </w:rPr>
              <w:br/>
            </w:r>
            <w:r w:rsidRPr="00491319">
              <w:rPr>
                <w:rFonts w:ascii="Times New Roman" w:hAnsi="Times New Roman" w:cs="Times New Roman"/>
              </w:rPr>
              <w:br/>
            </w:r>
            <w:r w:rsidRPr="00491319">
              <w:rPr>
                <w:rFonts w:ascii="Times New Roman" w:hAnsi="Times New Roman" w:cs="Times New Roman"/>
              </w:rPr>
              <w:br/>
            </w:r>
            <w:r w:rsidRPr="00491319">
              <w:rPr>
                <w:rFonts w:ascii="Times New Roman" w:hAnsi="Times New Roman" w:cs="Times New Roman"/>
              </w:rPr>
              <w:br/>
            </w:r>
            <w:r w:rsidRPr="00491319">
              <w:rPr>
                <w:rFonts w:ascii="Times New Roman" w:hAnsi="Times New Roman" w:cs="Times New Roman"/>
                <w:b/>
                <w:bCs/>
              </w:rPr>
              <w:t>Nguyễn Phú Trọng</w:t>
            </w:r>
          </w:p>
        </w:tc>
      </w:tr>
    </w:tbl>
    <w:p w14:paraId="683C6D1C" w14:textId="77777777" w:rsidR="00491319" w:rsidRPr="00491319" w:rsidRDefault="00491319">
      <w:pPr>
        <w:rPr>
          <w:rFonts w:ascii="Times New Roman" w:hAnsi="Times New Roman" w:cs="Times New Roman"/>
        </w:rPr>
      </w:pPr>
    </w:p>
    <w:sectPr w:rsidR="00491319" w:rsidRPr="00491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19"/>
    <w:rsid w:val="00491319"/>
    <w:rsid w:val="00CD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A938"/>
  <w15:chartTrackingRefBased/>
  <w15:docId w15:val="{90297766-3658-4AE2-87F4-ECACC380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3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3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3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3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3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3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3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3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3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3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319"/>
    <w:rPr>
      <w:rFonts w:eastAsiaTheme="majorEastAsia" w:cstheme="majorBidi"/>
      <w:color w:val="272727" w:themeColor="text1" w:themeTint="D8"/>
    </w:rPr>
  </w:style>
  <w:style w:type="paragraph" w:styleId="Title">
    <w:name w:val="Title"/>
    <w:basedOn w:val="Normal"/>
    <w:next w:val="Normal"/>
    <w:link w:val="TitleChar"/>
    <w:uiPriority w:val="10"/>
    <w:qFormat/>
    <w:rsid w:val="00491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319"/>
    <w:pPr>
      <w:spacing w:before="160"/>
      <w:jc w:val="center"/>
    </w:pPr>
    <w:rPr>
      <w:i/>
      <w:iCs/>
      <w:color w:val="404040" w:themeColor="text1" w:themeTint="BF"/>
    </w:rPr>
  </w:style>
  <w:style w:type="character" w:customStyle="1" w:styleId="QuoteChar">
    <w:name w:val="Quote Char"/>
    <w:basedOn w:val="DefaultParagraphFont"/>
    <w:link w:val="Quote"/>
    <w:uiPriority w:val="29"/>
    <w:rsid w:val="00491319"/>
    <w:rPr>
      <w:i/>
      <w:iCs/>
      <w:color w:val="404040" w:themeColor="text1" w:themeTint="BF"/>
    </w:rPr>
  </w:style>
  <w:style w:type="paragraph" w:styleId="ListParagraph">
    <w:name w:val="List Paragraph"/>
    <w:basedOn w:val="Normal"/>
    <w:uiPriority w:val="34"/>
    <w:qFormat/>
    <w:rsid w:val="00491319"/>
    <w:pPr>
      <w:ind w:left="720"/>
      <w:contextualSpacing/>
    </w:pPr>
  </w:style>
  <w:style w:type="character" w:styleId="IntenseEmphasis">
    <w:name w:val="Intense Emphasis"/>
    <w:basedOn w:val="DefaultParagraphFont"/>
    <w:uiPriority w:val="21"/>
    <w:qFormat/>
    <w:rsid w:val="00491319"/>
    <w:rPr>
      <w:i/>
      <w:iCs/>
      <w:color w:val="0F4761" w:themeColor="accent1" w:themeShade="BF"/>
    </w:rPr>
  </w:style>
  <w:style w:type="paragraph" w:styleId="IntenseQuote">
    <w:name w:val="Intense Quote"/>
    <w:basedOn w:val="Normal"/>
    <w:next w:val="Normal"/>
    <w:link w:val="IntenseQuoteChar"/>
    <w:uiPriority w:val="30"/>
    <w:qFormat/>
    <w:rsid w:val="004913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319"/>
    <w:rPr>
      <w:i/>
      <w:iCs/>
      <w:color w:val="0F4761" w:themeColor="accent1" w:themeShade="BF"/>
    </w:rPr>
  </w:style>
  <w:style w:type="character" w:styleId="IntenseReference">
    <w:name w:val="Intense Reference"/>
    <w:basedOn w:val="DefaultParagraphFont"/>
    <w:uiPriority w:val="32"/>
    <w:qFormat/>
    <w:rsid w:val="004913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859059">
      <w:bodyDiv w:val="1"/>
      <w:marLeft w:val="0"/>
      <w:marRight w:val="0"/>
      <w:marTop w:val="0"/>
      <w:marBottom w:val="0"/>
      <w:divBdr>
        <w:top w:val="none" w:sz="0" w:space="0" w:color="auto"/>
        <w:left w:val="none" w:sz="0" w:space="0" w:color="auto"/>
        <w:bottom w:val="none" w:sz="0" w:space="0" w:color="auto"/>
        <w:right w:val="none" w:sz="0" w:space="0" w:color="auto"/>
      </w:divBdr>
    </w:div>
    <w:div w:id="64516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1232</Words>
  <Characters>7029</Characters>
  <Application>Microsoft Office Word</Application>
  <DocSecurity>0</DocSecurity>
  <Lines>58</Lines>
  <Paragraphs>16</Paragraphs>
  <ScaleCrop>false</ScaleCrop>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2024-12-08T13:44:00Z</dcterms:created>
  <dcterms:modified xsi:type="dcterms:W3CDTF">2024-12-08T13:50:00Z</dcterms:modified>
</cp:coreProperties>
</file>