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C6D20" w14:paraId="248ABB84" w14:textId="77777777" w:rsidTr="00BC6D2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0B3844" w14:textId="77777777" w:rsidR="00BC6D20" w:rsidRDefault="00BC6D20">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QUỐC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A653D" w14:textId="77777777" w:rsidR="00BC6D20" w:rsidRDefault="00BC6D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C6D20" w14:paraId="4962F876" w14:textId="77777777" w:rsidTr="00BC6D2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486F12" w14:textId="77777777" w:rsidR="00BC6D20" w:rsidRDefault="00BC6D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279/2017/TT-BQP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A079D" w14:textId="77777777" w:rsidR="00BC6D20" w:rsidRDefault="00BC6D2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31 tháng 10 năm 2017</w:t>
            </w:r>
          </w:p>
        </w:tc>
      </w:tr>
    </w:tbl>
    <w:p w14:paraId="74E2AC64" w14:textId="77777777" w:rsidR="00BC6D20" w:rsidRDefault="00BC6D20" w:rsidP="00BC6D20">
      <w:pPr>
        <w:pStyle w:val="NormalWeb"/>
        <w:spacing w:after="90" w:afterAutospacing="0" w:line="345" w:lineRule="atLeast"/>
        <w:jc w:val="center"/>
        <w:rPr>
          <w:rFonts w:ascii="Arial" w:hAnsi="Arial" w:cs="Arial"/>
          <w:color w:val="000000"/>
          <w:sz w:val="21"/>
          <w:szCs w:val="21"/>
        </w:rPr>
      </w:pPr>
    </w:p>
    <w:p w14:paraId="36FC7D40" w14:textId="77777777" w:rsidR="00BC6D20" w:rsidRDefault="00BC6D20" w:rsidP="00BC6D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0F5DE315" w14:textId="77777777" w:rsidR="00BC6D20" w:rsidRDefault="00BC6D20" w:rsidP="00BC6D2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VIỆC THỰC HIỆN XUẤT NGŨ ĐỐI VỚI HẠ SĨ QUAN, BINH SĨ PHỤC VỤ TẠI NGŨ TRONG QUÂN ĐỘI NHÂN DÂN</w:t>
      </w:r>
    </w:p>
    <w:p w14:paraId="1FDD6683"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nghĩa vụ quân sự</w:t>
        </w:r>
      </w:hyperlink>
      <w:r>
        <w:rPr>
          <w:rStyle w:val="Emphasis"/>
          <w:rFonts w:ascii="Arial" w:hAnsi="Arial" w:cs="Arial"/>
          <w:color w:val="000000"/>
          <w:sz w:val="21"/>
          <w:szCs w:val="21"/>
        </w:rPr>
        <w:t> ngày 19 tháng 6 năm 2015;</w:t>
      </w:r>
    </w:p>
    <w:p w14:paraId="0BB266D1"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35/2013/NĐ-CP ngày 22 tháng 4 năm 2013 của Chính phủ quy định chức năng, nhiệm vụ, quyền hạn và cơ cấu tổ chức của Bộ Quốc phòng;</w:t>
      </w:r>
    </w:p>
    <w:p w14:paraId="561F0E61"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Tổng Tham mưu trưởng;</w:t>
      </w:r>
    </w:p>
    <w:p w14:paraId="007790C2"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Quốc phòng ban hành Thông tư quy định việc thực hiện xuất ngũ đối với hạ sĩ quan, binh sĩ phục vụ tại ngũ trong Quân đội nhân dân.</w:t>
      </w:r>
    </w:p>
    <w:p w14:paraId="05F91D13"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0DD1707"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về hình thức, hồ sơ, thẩm quyền giải quyết xuất ngũ đối với hạ sĩ quan, binh sĩ tại ngũ trong lực lượng thường trực của Quân đội nhân dân; trách nhiệm của các cơ quan, đơn vị, tổ chức (sau đây viết gọn là cơ quan, đơn vị) và cá nhân liên quan.</w:t>
      </w:r>
    </w:p>
    <w:p w14:paraId="7CC9448F"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0581ACF"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áp dụng đối với hạ sĩ quan, binh sĩ phục vụ tại ngũ trong lực lượng thường trực của Quân đội nhân dân; các cơ quan, đơn vị và cá nhân liên quan.</w:t>
      </w:r>
    </w:p>
    <w:p w14:paraId="5F095096"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Xuất ngũ, cách tính thời gian phục vụ tại ngũ</w:t>
      </w:r>
    </w:p>
    <w:p w14:paraId="03657F16"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ngũ đối với hạ sĩ quan, binh sĩ là thực hiện việc chuyển ra khỏi biên chế lực lượng thường trực của Quân đội nhân dân sang phục vụ trong ngạch dự bị theo quy định của Luật nghĩa vụ quân sự năm 2015.</w:t>
      </w:r>
    </w:p>
    <w:p w14:paraId="67C91461"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Cách tính thời gian phục vụ tại ngũ của hạ sĩ quan, binh sĩ thực hiện theo quy định tại Điều 22 Luật nghĩa vụ quân sự năm 2015.</w:t>
      </w:r>
    </w:p>
    <w:p w14:paraId="281FBF95"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Hình thức xuất ngũ</w:t>
      </w:r>
    </w:p>
    <w:p w14:paraId="650571A5"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Hạ sĩ quan, binh sĩ được xuất ngũ đúng thời hạn khi đã phục vụ tại ngũ đủ thời hạn theo quy định tại Khoản 1 Điều 21 Luật nghĩa vụ quân sự năm 2015.</w:t>
      </w:r>
    </w:p>
    <w:p w14:paraId="1CE5C1D4"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binh sĩ xuất ngũ sau thời hạn khi đã phục vụ tại ngũ đủ thời hạn theo quy định tại Khoản 1 Điều này và được Bộ trưởng Bộ Quốc phòng quyết định kéo dài thời hạn phục vụ tại ngũ theo quy định tại Khoản 2 Điều 21 Luật nghĩa vụ quân sự năm 2015.</w:t>
      </w:r>
    </w:p>
    <w:p w14:paraId="3549914C"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 sĩ quan, binh sĩ xuất ngũ trước thời hạn khi có một trong các điều kiện sau:</w:t>
      </w:r>
    </w:p>
    <w:p w14:paraId="6257DBB0"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giám định sức khỏe từ cấp sư đoàn và tương đương trở lên hoặc Hội đồng giám định y khoa cấp có thẩm quyền kết luận không đủ tiêu chuẩn sức khỏe phục vụ tại ngũ theo quy định tại Thông tư liên tịch số </w:t>
      </w:r>
      <w:hyperlink r:id="rId7" w:history="1">
        <w:r>
          <w:rPr>
            <w:rStyle w:val="Hyperlink"/>
            <w:rFonts w:ascii="Arial" w:hAnsi="Arial" w:cs="Arial"/>
            <w:color w:val="135ECD"/>
            <w:sz w:val="21"/>
            <w:szCs w:val="21"/>
          </w:rPr>
          <w:t>16/2016/TTLT-BYT-BQP</w:t>
        </w:r>
      </w:hyperlink>
      <w:r>
        <w:rPr>
          <w:rFonts w:ascii="Arial" w:hAnsi="Arial" w:cs="Arial"/>
          <w:color w:val="000000"/>
          <w:sz w:val="21"/>
          <w:szCs w:val="21"/>
        </w:rPr>
        <w:t> ngày 30 tháng 6 năm 2016 của Bộ trưởng Bộ Y tế - Bộ trưởng Bộ Quốc phòng quy định việc khám sức khỏe thực hiện nghĩa vụ quân sự.</w:t>
      </w:r>
    </w:p>
    <w:p w14:paraId="5F93C8ED"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và Ban Chỉ huy quân sự cấp huyện xác nhận là gia đình có hoàn cảnh khó khăn thuộc diện tạm hoãn gọi nhập ngũ quy định tại Điểm b, c Khoản 1 Điều 41 Luật nghĩa vụ quân sự năm 2015, cụ thể như sau:</w:t>
      </w:r>
    </w:p>
    <w:p w14:paraId="43900BB5"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xã xác nhận;</w:t>
      </w:r>
    </w:p>
    <w:p w14:paraId="081DEFE8"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con của bệnh binh, người nhiễm chất độc da cam suy giảm khả năng lao động từ 61% đến 80%.</w:t>
      </w:r>
    </w:p>
    <w:p w14:paraId="7F893FE4"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xã và Ban Chỉ huy quân sự cấp huyện xác nhận là gia đình có hoàn cảnh khó khăn thuộc diện miễn gọi nhập ngũ quy định tại Điểm a, b, c Khoản 2 Điều 41 Luật nghĩa vụ quân sự năm 2015, cụ thể như sau:</w:t>
      </w:r>
    </w:p>
    <w:p w14:paraId="4F64F8E6"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Con của liệt sĩ, con của thương binh hạng một;</w:t>
      </w:r>
    </w:p>
    <w:p w14:paraId="6FAD7F1F"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anh hoặc một em của liệt sĩ;</w:t>
      </w:r>
    </w:p>
    <w:p w14:paraId="6DF2B3DB"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con của thương binh hạng hai; một con của bệnh binh suy giảm khả năng lao động từ 81% trở lên; một con của người nhiễm chất độc da cam suy giảm khả năng lao động từ 81 % trở lên.</w:t>
      </w:r>
    </w:p>
    <w:p w14:paraId="12EAD278"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Bảo vệ An ninh Quân đội báo cáo cấp có thẩm quyền quyết định không đủ tiêu chuẩn chính trị theo quy định tại Điều 5 của Thông tư liên tịch số 50/2016/TTLT-BQP-BCA ngày 15 tháng 4 năm 2016 của Bộ trưởng Bộ Quốc phòng - Bộ trưởng Bộ Công an quy định tiêu chuẩn chính trị tuyển chọn công dân nhập ngũ vào phục vụ trong Quân đội nhân dân Việt Nam.</w:t>
      </w:r>
    </w:p>
    <w:p w14:paraId="55990D73"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Trong thời gian kéo dài thời hạn phục vụ tại ngũ theo quy định tại Khoản 2 Điều này, nếu hạ sĩ quan, binh sĩ có hoàn cảnh gia đình gặp khó khăn hoặc không đủ tiêu chuẩn sức khỏe hoặc không </w:t>
      </w:r>
      <w:r>
        <w:rPr>
          <w:rFonts w:ascii="Arial" w:hAnsi="Arial" w:cs="Arial"/>
          <w:color w:val="000000"/>
          <w:sz w:val="21"/>
          <w:szCs w:val="21"/>
        </w:rPr>
        <w:lastRenderedPageBreak/>
        <w:t>đủ tiêu chuẩn chính trị theo quy định tại Điểm a, b, c, d Khoản 3 Điều này, thì được giải quyết xuất ngũ.</w:t>
      </w:r>
    </w:p>
    <w:p w14:paraId="6BA5D608"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Hồ sơ xuất ngũ</w:t>
      </w:r>
    </w:p>
    <w:p w14:paraId="5410E844"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xuất ngũ đúng thời hạn và xuất ngũ sau thời hạn, hồ sơ gồm:</w:t>
      </w:r>
    </w:p>
    <w:p w14:paraId="27AB602E"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Lý lịch nghĩa vụ quân sự.</w:t>
      </w:r>
    </w:p>
    <w:p w14:paraId="749598A1"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Phiếu sức khỏe nghĩa vụ quân sự.</w:t>
      </w:r>
    </w:p>
    <w:p w14:paraId="2A0D431D"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Phiếu quân nhân.</w:t>
      </w:r>
    </w:p>
    <w:p w14:paraId="59D4754B"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Nhận xét quá trình công tác.</w:t>
      </w:r>
    </w:p>
    <w:p w14:paraId="46A49C35"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xuất ngũ: 05 bản (đơn vị giải quyết xuất ngũ 01 bản; cơ quan tài chính đơn vị giải quyết xuất ngũ 01 bản; Ban Chỉ huy quân sự cấp huyện nơi hạ sĩ quan, binh sĩ xuất ngũ về 01 bản; hạ sĩ quan, binh sĩ xuất ngũ 02 bản, trong đó 01 bản dùng để nộp cho cơ sở dạy nghề nơi hạ sĩ quan, binh sĩ đến học nghề).</w:t>
      </w:r>
    </w:p>
    <w:p w14:paraId="34096E8D"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Giấy tờ khác liên quan (nếu có).</w:t>
      </w:r>
    </w:p>
    <w:p w14:paraId="68E2F422"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xuất ngũ trước thời hạn, hồ sơ gồm:</w:t>
      </w:r>
    </w:p>
    <w:p w14:paraId="65BC9F2E"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binh sĩ có thời gian phục vụ tại ngũ từ đủ 01 tháng trở lên, nếu không đủ điều kiện phục vụ tại ngũ, thì hồ sơ xuất ngũ thực hiện theo quy định tại Khoản 1 Điều này (quyết định xuất ngũ ghi rõ lý do xuất ngũ) và kèm theo một trong các văn bản sau:</w:t>
      </w:r>
    </w:p>
    <w:p w14:paraId="103397F5"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giám định sức khỏe của Hội đồng giám định sức khỏe từ cấp sư đoàn và tương đương trở lên hoặc biên bản giám định y khoa của Hội đồng giám định y khoa cấp có thẩm quyền kết luận không đủ sức khỏe phục vụ tại ngũ theo quy định tại Điểm a Khoản 3 Điều 4 của Thông tư này.</w:t>
      </w:r>
    </w:p>
    <w:p w14:paraId="2659493A"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Giấy xác nhận của Ủy ban nhân dân cấp xã và Ban Chỉ huy quân sự cấp huyện là gia đình có hoàn cảnh khó khăn theo quy định tại Điểm b, c Khoản 3 Điều 4 của Thông tư này.</w:t>
      </w:r>
    </w:p>
    <w:p w14:paraId="4A5B0AE4"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của cấp có thẩm quyền kết luận không đủ tiêu chuẩn chính trị theo quy định tại Điểm d Khoản 3 Điều 4 của Thông tư này.</w:t>
      </w:r>
    </w:p>
    <w:p w14:paraId="21BD97FC"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 sĩ quan, binh sĩ có thời gian phục vụ tại ngũ dưới 01 tháng, nếu không đủ điều kiện phục vụ tại ngũ thì chỉ huy đơn vị từ cấp trung đoàn và tương đương trở lên thông báo bằng văn bản và nêu rõ lý do không đủ điều kiện phục vụ tại ngũ, kèm theo hồ sơ nhập ngũ bàn giao trả về địa phương cấp huyện nơi giao quân theo quy định.</w:t>
      </w:r>
    </w:p>
    <w:p w14:paraId="017C5925"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Thẩm quyền giải quyết xuất ngũ</w:t>
      </w:r>
    </w:p>
    <w:p w14:paraId="1A749591"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trưởng Bộ Quốc phòng quyết định thời gian, số lượng hạ sĩ quan, binh sĩ xuất ngũ hằng năm.</w:t>
      </w:r>
    </w:p>
    <w:p w14:paraId="059AAD34"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huy trưởng cấp trung đoàn và tương đương quyết định xuất ngũ đối với hạ sĩ quan, binh sĩ thuộc quyền.</w:t>
      </w:r>
    </w:p>
    <w:p w14:paraId="19F3547C"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huy trưởng cấp sư đoàn và tương đương trở lên xem xét, phê duyệt đối với trường hợp hạ sĩ quan, binh sĩ xuất ngũ trước thời hạn theo quy định tại Khoản 3 Điều 4 Thông tư này.</w:t>
      </w:r>
    </w:p>
    <w:p w14:paraId="26FCD7CD"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12 tháng, kể từ ngày ban hành quyết định hạ sĩ quan, binh sĩ xuất ngũ về địa phương, nếu cá nhân được tiếp nhận vào làm việc tại cơ quan Nhà nước, tổ chức, cơ sở kinh tế thuộc các thành phần kinh tế và có nguyện vọng xin làm thủ tục chuyển đến nơi tiếp nhận vào làm việc, thì Chỉ huy trưởng Ban Chỉ huy quân sự cấp huyện xem xét, giải quyết theo quy định.</w:t>
      </w:r>
    </w:p>
    <w:p w14:paraId="4CEF9EE3"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Trách nhiệm của cơ quan, đơn vị và cá nhân</w:t>
      </w:r>
    </w:p>
    <w:p w14:paraId="1FAF50A2"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huy đơn vị cấp trung đoàn và tương đương trở lên có trách nhiệm:</w:t>
      </w:r>
    </w:p>
    <w:p w14:paraId="23B510B3"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giải quyết xuất ngũ đối với từng hạ sĩ quan, binh sĩ thuộc quyền; tổ chức buổi gặp mặt chia tay trước khi xuất ngũ; tổ chức lễ tiễn và đưa hạ sĩ quan, binh sĩ về bàn giao cho Ủy ban nhân dân cấp huyện nơi hạ sĩ quan, binh sĩ xuất ngũ về địa phương theo quy định.</w:t>
      </w:r>
    </w:p>
    <w:p w14:paraId="744E5F31"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thời gian xuất ngũ trước 30 ngày đến hạ sĩ quan, binh sĩ và Ủy ban nhân dân cấp huyện hoặc cơ quan, tổ chức nơi hạ sĩ quan, binh sĩ xuất ngũ về địa phương.</w:t>
      </w:r>
    </w:p>
    <w:p w14:paraId="7DA6D588"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đơn vị liên quan theo chức năng, nhiệm vụ có trách nhiệm: Giúp chỉ huy đơn vị giải quyết đầy đủ thủ tục, hồ sơ, chế độ, chính sách đối với hạ sĩ quan, binh sĩ trước khi xuất ngũ; lập danh sách hạ sĩ quan, binh sĩ xuất ngũ gửi đến Ban Chỉ huy quân sự cấp huyện nơi hạ sĩ quan, binh sĩ xuất ngũ về để quản lý và đăng ký vào ngạch dự bị theo quy định của Luật nghĩa vụ quân sự năm 2015.</w:t>
      </w:r>
    </w:p>
    <w:p w14:paraId="045AB0A1"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Chỉ huy quân sự cấp huyện nơi hạ sĩ quan, binh sĩ xuất ngũ về có trách nhiệm tham mưu cho Ủy ban nhân dân cùng cấp tổ chức đón nhận hạ sĩ quan, binh sĩ xuất ngũ về địa phương theo quy định; đồng thời, phối hợp với các cơ quan, đơn vị liên quan giải quyết chế độ, chính sách theo quy định tại Khoản 3 Điều 50 Luật nghĩa vụ quân sự năm 2015.</w:t>
      </w:r>
    </w:p>
    <w:p w14:paraId="2636CB75"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huy trưởng Ban Chỉ huy quân sự cấp huyện nơi hạ sĩ quan, binh sĩ xuất ngũ về có trách nhiệm xem xét, giải quyết cho hạ sĩ quan, binh sĩ xuất ngũ theo quy định tại Khoản 4 Điều 6 của Thông tư này.</w:t>
      </w:r>
    </w:p>
    <w:p w14:paraId="1F281F79"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15 ngày làm việc, kể từ ngày hạ sĩ quan, binh sĩ nhận được quyết định xuất ngũ, phải đến Ban Chỉ huy quân sự cấp xã để trực tiếp đăng ký phục vụ trong ngạch dự bị.</w:t>
      </w:r>
    </w:p>
    <w:p w14:paraId="614C21DF"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Hiệu lực thi hành</w:t>
      </w:r>
    </w:p>
    <w:p w14:paraId="40BC5BB4"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Thông tư này có hiệu lực thi hành kể từ ngày 15 tháng 12 năm 2017 và thay thế Thông tư số </w:t>
      </w:r>
      <w:hyperlink r:id="rId8" w:history="1">
        <w:r>
          <w:rPr>
            <w:rStyle w:val="Hyperlink"/>
            <w:rFonts w:ascii="Arial" w:hAnsi="Arial" w:cs="Arial"/>
            <w:color w:val="135ECD"/>
            <w:sz w:val="21"/>
            <w:szCs w:val="21"/>
          </w:rPr>
          <w:t>11/2012/TT-BQP</w:t>
        </w:r>
      </w:hyperlink>
      <w:r>
        <w:rPr>
          <w:rFonts w:ascii="Arial" w:hAnsi="Arial" w:cs="Arial"/>
          <w:color w:val="000000"/>
          <w:sz w:val="21"/>
          <w:szCs w:val="21"/>
        </w:rPr>
        <w:t> ngày 20 tháng 02 năm 2012 của Bộ trưởng Bộ Quốc phòng quy định việc thực hiện xuất ngũ đối với hạ sĩ quan, binh sĩ phục vụ tại ngũ trong Quân đội nhân dân Việt Nam.</w:t>
      </w:r>
    </w:p>
    <w:p w14:paraId="1516CD41"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thi hành</w:t>
      </w:r>
    </w:p>
    <w:p w14:paraId="26CCE752" w14:textId="77777777" w:rsidR="00BC6D20" w:rsidRDefault="00BC6D20" w:rsidP="00BC6D2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Tham mưu trưởng, chỉ huy các cơ quan, đơn vị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BC6D20" w14:paraId="39FD2E8C" w14:textId="77777777" w:rsidTr="00BC6D20">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2EAD1" w14:textId="77777777" w:rsidR="00BC6D20" w:rsidRDefault="00BC6D20" w:rsidP="00BC6D20">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Bộ trưởng (để b/c);</w:t>
            </w:r>
            <w:r>
              <w:rPr>
                <w:rFonts w:ascii="Arial" w:hAnsi="Arial" w:cs="Arial"/>
                <w:color w:val="000000"/>
                <w:sz w:val="21"/>
                <w:szCs w:val="21"/>
              </w:rPr>
              <w:br/>
              <w:t>- Chủ nhiệm TCCT;</w:t>
            </w:r>
            <w:r>
              <w:rPr>
                <w:rFonts w:ascii="Arial" w:hAnsi="Arial" w:cs="Arial"/>
                <w:color w:val="000000"/>
                <w:sz w:val="21"/>
                <w:szCs w:val="21"/>
              </w:rPr>
              <w:br/>
              <w:t>- Các đ/c Thứ trưởng BQP;</w:t>
            </w:r>
            <w:r>
              <w:rPr>
                <w:rFonts w:ascii="Arial" w:hAnsi="Arial" w:cs="Arial"/>
                <w:color w:val="000000"/>
                <w:sz w:val="21"/>
                <w:szCs w:val="21"/>
              </w:rPr>
              <w:br/>
              <w:t>- Văn phòng Chính phủ;</w:t>
            </w:r>
            <w:r>
              <w:rPr>
                <w:rFonts w:ascii="Arial" w:hAnsi="Arial" w:cs="Arial"/>
                <w:color w:val="000000"/>
                <w:sz w:val="21"/>
                <w:szCs w:val="21"/>
              </w:rPr>
              <w:br/>
              <w:t>- UBND tỉnh, thành phố</w:t>
            </w:r>
            <w:r>
              <w:rPr>
                <w:rFonts w:ascii="Arial" w:hAnsi="Arial" w:cs="Arial"/>
                <w:color w:val="000000"/>
                <w:sz w:val="21"/>
                <w:szCs w:val="21"/>
                <w:vertAlign w:val="superscript"/>
              </w:rPr>
              <w:t>63</w:t>
            </w:r>
            <w:r>
              <w:rPr>
                <w:rFonts w:ascii="Arial" w:hAnsi="Arial" w:cs="Arial"/>
                <w:color w:val="000000"/>
                <w:sz w:val="21"/>
                <w:szCs w:val="21"/>
              </w:rPr>
              <w:t>;</w:t>
            </w:r>
            <w:r>
              <w:rPr>
                <w:rFonts w:ascii="Arial" w:hAnsi="Arial" w:cs="Arial"/>
                <w:color w:val="000000"/>
                <w:sz w:val="21"/>
                <w:szCs w:val="21"/>
              </w:rPr>
              <w:br/>
              <w:t>- Các đầu mối trực thuộc BQP</w:t>
            </w:r>
            <w:r>
              <w:rPr>
                <w:rFonts w:ascii="Arial" w:hAnsi="Arial" w:cs="Arial"/>
                <w:color w:val="000000"/>
                <w:sz w:val="21"/>
                <w:szCs w:val="21"/>
                <w:vertAlign w:val="superscript"/>
              </w:rPr>
              <w:t>75</w:t>
            </w:r>
            <w:r>
              <w:rPr>
                <w:rFonts w:ascii="Arial" w:hAnsi="Arial" w:cs="Arial"/>
                <w:color w:val="000000"/>
                <w:sz w:val="21"/>
                <w:szCs w:val="21"/>
              </w:rPr>
              <w:t>;</w:t>
            </w:r>
            <w:r>
              <w:rPr>
                <w:rFonts w:ascii="Arial" w:hAnsi="Arial" w:cs="Arial"/>
                <w:color w:val="000000"/>
                <w:sz w:val="21"/>
                <w:szCs w:val="21"/>
              </w:rPr>
              <w:br/>
              <w:t>- Bộ CHQS tỉnh, thành phố</w:t>
            </w:r>
            <w:r>
              <w:rPr>
                <w:rFonts w:ascii="Arial" w:hAnsi="Arial" w:cs="Arial"/>
                <w:color w:val="000000"/>
                <w:sz w:val="21"/>
                <w:szCs w:val="21"/>
                <w:vertAlign w:val="superscript"/>
              </w:rPr>
              <w:t>61</w:t>
            </w:r>
            <w:r>
              <w:rPr>
                <w:rFonts w:ascii="Arial" w:hAnsi="Arial" w:cs="Arial"/>
                <w:color w:val="000000"/>
                <w:sz w:val="21"/>
                <w:szCs w:val="21"/>
              </w:rPr>
              <w:t>;</w:t>
            </w:r>
            <w:r>
              <w:rPr>
                <w:rFonts w:ascii="Arial" w:hAnsi="Arial" w:cs="Arial"/>
                <w:color w:val="000000"/>
                <w:sz w:val="21"/>
                <w:szCs w:val="21"/>
              </w:rPr>
              <w:br/>
              <w:t>- BTL Thành phố Hồ Chí Minh;</w:t>
            </w:r>
            <w:r>
              <w:rPr>
                <w:rFonts w:ascii="Arial" w:hAnsi="Arial" w:cs="Arial"/>
                <w:color w:val="000000"/>
                <w:sz w:val="21"/>
                <w:szCs w:val="21"/>
              </w:rPr>
              <w:br/>
              <w:t>- Các Cục: Quân lực, Quân huấn, Chính sách, Tổ chức;</w:t>
            </w:r>
            <w:r>
              <w:rPr>
                <w:rFonts w:ascii="Arial" w:hAnsi="Arial" w:cs="Arial"/>
                <w:color w:val="000000"/>
                <w:sz w:val="21"/>
                <w:szCs w:val="21"/>
              </w:rPr>
              <w:br/>
              <w:t>- Cục kiểm tra văn bản QPPL/BTP;</w:t>
            </w:r>
            <w:r>
              <w:rPr>
                <w:rFonts w:ascii="Arial" w:hAnsi="Arial" w:cs="Arial"/>
                <w:color w:val="000000"/>
                <w:sz w:val="21"/>
                <w:szCs w:val="21"/>
              </w:rPr>
              <w:br/>
              <w:t>- Công báo, Cổng TTĐT Chính phủ;</w:t>
            </w:r>
            <w:r>
              <w:rPr>
                <w:rFonts w:ascii="Arial" w:hAnsi="Arial" w:cs="Arial"/>
                <w:color w:val="000000"/>
                <w:sz w:val="21"/>
                <w:szCs w:val="21"/>
              </w:rPr>
              <w:br/>
              <w:t>- Cổng TTĐT Bộ Quốc phòng;</w:t>
            </w:r>
            <w:r>
              <w:rPr>
                <w:rFonts w:ascii="Arial" w:hAnsi="Arial" w:cs="Arial"/>
                <w:color w:val="000000"/>
                <w:sz w:val="21"/>
                <w:szCs w:val="21"/>
              </w:rPr>
              <w:br/>
              <w:t>- Văn phòng BQP (Các T</w:t>
            </w:r>
            <w:r>
              <w:rPr>
                <w:rFonts w:ascii="Arial" w:hAnsi="Arial" w:cs="Arial"/>
                <w:color w:val="000000"/>
                <w:sz w:val="21"/>
                <w:szCs w:val="21"/>
                <w:vertAlign w:val="superscript"/>
              </w:rPr>
              <w:t>2</w:t>
            </w:r>
            <w:r>
              <w:rPr>
                <w:rFonts w:ascii="Arial" w:hAnsi="Arial" w:cs="Arial"/>
                <w:color w:val="000000"/>
                <w:sz w:val="21"/>
                <w:szCs w:val="21"/>
              </w:rPr>
              <w:t>VP, VPC);</w:t>
            </w:r>
            <w:r>
              <w:rPr>
                <w:rFonts w:ascii="Arial" w:hAnsi="Arial" w:cs="Arial"/>
                <w:color w:val="000000"/>
                <w:sz w:val="21"/>
                <w:szCs w:val="21"/>
              </w:rPr>
              <w:br/>
              <w:t>- Lưu: VT, NCTH; Toan 224.</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705FA" w14:textId="77777777" w:rsidR="00BC6D20" w:rsidRDefault="00BC6D2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Thượng tướng Phan Văn Giang</w:t>
            </w:r>
          </w:p>
        </w:tc>
      </w:tr>
    </w:tbl>
    <w:p w14:paraId="29E29492" w14:textId="640DB0AF" w:rsidR="008100A5" w:rsidRPr="00BC6D20" w:rsidRDefault="008100A5" w:rsidP="00BC6D20"/>
    <w:sectPr w:rsidR="008100A5" w:rsidRPr="00BC6D20" w:rsidSect="00EA6970">
      <w:headerReference w:type="even" r:id="rId9"/>
      <w:headerReference w:type="default"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02951" w14:textId="77777777" w:rsidR="001F03CE" w:rsidRDefault="001F03CE">
      <w:r>
        <w:separator/>
      </w:r>
    </w:p>
  </w:endnote>
  <w:endnote w:type="continuationSeparator" w:id="0">
    <w:p w14:paraId="1FD908ED" w14:textId="77777777" w:rsidR="001F03CE" w:rsidRDefault="001F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47DF8" w14:textId="77777777" w:rsidR="001F03CE" w:rsidRDefault="001F03CE">
      <w:r>
        <w:separator/>
      </w:r>
    </w:p>
  </w:footnote>
  <w:footnote w:type="continuationSeparator" w:id="0">
    <w:p w14:paraId="7AD54E58" w14:textId="77777777" w:rsidR="001F03CE" w:rsidRDefault="001F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F03CE"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C46F6"/>
    <w:rsid w:val="000E5356"/>
    <w:rsid w:val="0019020C"/>
    <w:rsid w:val="00192939"/>
    <w:rsid w:val="001F03CE"/>
    <w:rsid w:val="00236586"/>
    <w:rsid w:val="00241A92"/>
    <w:rsid w:val="002E73F2"/>
    <w:rsid w:val="00304E6C"/>
    <w:rsid w:val="0036556D"/>
    <w:rsid w:val="003B0B22"/>
    <w:rsid w:val="004854D6"/>
    <w:rsid w:val="00491F1E"/>
    <w:rsid w:val="004D332E"/>
    <w:rsid w:val="004E336B"/>
    <w:rsid w:val="00550491"/>
    <w:rsid w:val="00594611"/>
    <w:rsid w:val="005962E0"/>
    <w:rsid w:val="005C5BA0"/>
    <w:rsid w:val="006666EF"/>
    <w:rsid w:val="00670C46"/>
    <w:rsid w:val="00694AD7"/>
    <w:rsid w:val="006F0E67"/>
    <w:rsid w:val="00745DDF"/>
    <w:rsid w:val="007778BB"/>
    <w:rsid w:val="007F39D8"/>
    <w:rsid w:val="007F6A8B"/>
    <w:rsid w:val="00800FEE"/>
    <w:rsid w:val="008100A5"/>
    <w:rsid w:val="008271E0"/>
    <w:rsid w:val="00827EA9"/>
    <w:rsid w:val="008F3318"/>
    <w:rsid w:val="00913CB4"/>
    <w:rsid w:val="00A642AD"/>
    <w:rsid w:val="00A72EA9"/>
    <w:rsid w:val="00A90CC7"/>
    <w:rsid w:val="00AC5290"/>
    <w:rsid w:val="00B00B5A"/>
    <w:rsid w:val="00B45FA2"/>
    <w:rsid w:val="00B96CEB"/>
    <w:rsid w:val="00BC6D20"/>
    <w:rsid w:val="00C2317D"/>
    <w:rsid w:val="00CC31A8"/>
    <w:rsid w:val="00CF27FC"/>
    <w:rsid w:val="00D147CE"/>
    <w:rsid w:val="00DC49B4"/>
    <w:rsid w:val="00DC525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thong-tu-11-2012-tt-bqp.aspx" TargetMode="External"/><Relationship Id="rId3" Type="http://schemas.openxmlformats.org/officeDocument/2006/relationships/webSettings" Target="webSettings.xml"/><Relationship Id="rId7" Type="http://schemas.openxmlformats.org/officeDocument/2006/relationships/hyperlink" Target="https://admin.luatminhkhue.vn/thong-tu-lien-tich-16-2016-ttlt-byt-bqp-ngay-30-thang-6-nam-2016-quy-dinh-viec-kham-suc-khoe-thuc-hien-nghia-vu-quan-su.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nghia-vu-quan-su-nam-2015.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1443</Words>
  <Characters>8231</Characters>
  <Application>Microsoft Office Word</Application>
  <DocSecurity>0</DocSecurity>
  <Lines>68</Lines>
  <Paragraphs>19</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2024-12-02T03:13:00Z</dcterms:created>
  <dcterms:modified xsi:type="dcterms:W3CDTF">2024-12-09T06:18:00Z</dcterms:modified>
</cp:coreProperties>
</file>