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50/2014/QĐ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20 tháng 8 năm 2014</w:t>
            </w:r>
          </w:p>
        </w:tc>
      </w:tr>
    </w:tbl>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MỘT SỐ CHẾ ĐỘ CHÍNH SÁCH ĐỐI VỚI CÔNG TÁC XÓA MÙ CHỮ, CHỐNG TÁIMÙ CHỮ TRÊN ĐỊA BÀN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20/2014/NĐ-CP </w:t>
        </w:r>
      </w:hyperlink>
      <w:r>
        <w:rPr>
          <w:i/>
        </w:rPr>
        <w:t xml:space="preserve"> ngày 24 tháng 3 năm 2014 của Chính phủ về phổ cập giáodục,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40/2013-TTLT-BTC-BGDĐT ngày 10 tháng 4 năm2013 của Liên bộ Tài Chính - Giáo dục và Đào tạo về Hướng dẫn quản lý, sử dụngkinh phí thực hiện chương trình mục tiêu giáo dục và đào tạo giai đoạn 2012 -2015;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Nghịquyết số 134/2014/NQ-HĐND ngày 16 tháng 7 năm 2014 của HĐND tỉnh về Quy địnhmột số mức chi đối với công tác xóa mù chữ, chống tái mù chữ trên địa bàn tỉnhNghệ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nghịcủa Sở Giáo dục và Đào tạo tại Tờ trình số 1534/TTr-SGD &amp;ĐT ngày 13 tháng 8năm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Phạm vi điều chỉnh: Quyết định này quyđịnh mức chi hỗ trợ hoạt động huy động người mù chữ, tái mù chữ trong độ tuổitừ 15 - 60 đến lớp xóa mù chữ và mức thù lao cho người làm công tác xóa mù chữ,chống tái mù chữ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Đốitượng áp dụng: Quyết định này áp dụng đối với cán bộ công tác tại Sở Giáo dụcvà Đào tạo, phòng Giáo dục và Đào tạo, các xã, phường, thị trấn, các cơ sở giáodục; giáo viên và người tham gia công tác xóa mù chữ, chống tái mù chữ trên địabàn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Nội dung chi, mức chivà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Chi điều tra, thống kê số người mù chữ, tái mù chữ trong độ tuổi 15 -55; điều tra, tình hình phổ cập giáo dục mầm non, tiểu học và phổ cập giáo dụctrung học cơ sở; kiểm tra công nhận phổ cập giáo dục </w:t>
      </w:r>
      <w:r>
        <w:rPr>
          <w:i/>
        </w:rPr>
        <w:t xml:space="preserve">(mầm non 5 tuổi, tiểuhọc, trung học cơ sở)</w:t>
      </w:r>
      <w:r>
        <w:t xml:space="preserve">và xóa mù chữ: Nội dung và mức chi thực hiện theoThông tư số 58/2011/TT-BTC ngày 11 tháng 5 năm 2011 của Bộ Tài chính về quyđịnh quản lý, sử dụng và quyết toán kinh phí thực hiện các cuộc điều tra thốngkê.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Chi hỗ trợ học phẩm, tài liệu học tập đối với học viên tham gia họctại các lớp xoá mù và chống tái mù chữ: Nội dung và mức chi áp dụng theo quyđịnh về hỗ trợ học phẩm cho học sinh trung học cơ sở tại Mục 6, Điều 2, Thôngtư liên tịch số 109/2009/TTLT /BTC-BGDĐT ngày 29 tháng 5 năm 2009 của Liên BộTài chính, Bộ Giáo dục và Đào tạo về hướng dẫn một số chế độ tài chính đối vớihọc sinh các trường phổ thông dân tộc nội trú và các trường dự bị đại học dântộc.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Chi bồi dưỡng nghiệp vụ cho giáo viên dạy các lớp xóa mù chữ, chốngtái mù chữ: Nội dung và mức chi thực hiện theo quy định tại Khoản 2 Điều 2 củaThông tư số </w:t>
      </w:r>
      <w:hyperlink r:id="rId4" w:history="1">
        <w:r>
          <w:rPr>
            <w:rStyle w:val="Hyperlink"/>
          </w:rPr>
          <w:t xml:space="preserve">139/2010/TT-BTC </w:t>
        </w:r>
      </w:hyperlink>
      <w:r>
        <w:t xml:space="preserve"> ngày 21 tháng 9 năm 2010 của Bộ Tài chínhquy định việc lập dự toán, quản lý và sử dụng kinh phí từ ngân sách nhànước dành cho công tác đào tạo, bồi dưỡng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Chi trả thù lao đối với giáo viên dạy lớp xóa mù, chống tái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quản lý,giáo viên chủ nhiệm, giáo viên thuộc biên chế ngành giáo dục, mức chi thù laotính theo số giờ thực dạy vượt định mức giờ chuẩn và được thanh toán trả lươnglàm thêm giờ bằng 150% lương và phụ cấp lương theo Thông tư liên tịch số 07/2013/TTLT-BGDĐT-BNV-BTCngày 08 tháng 3 năm 2013 của Liên Bộ Giáo dục và Đào tạo, Bộ Nội vụ, Bộ Tàichính hướng dẫn thực hiện chế độ trả lương dạy thêm giờ đối với nhà giáo trongcác cơ sở giáo dục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nhữngngười ngoài biên chế của ngành giáo dục, nếu có đủ tiêu chuẩn và năng lực giảngdạy, tình nguyện tham gia giảng dạy các lớp xóa mù chữ thì thực hiện ký hợpđồng với đơn vị được giao tổ chức mở lớp, mức chi thù lao theo hợp đồng tươngđương với mức lương giáo viên trong biên chế có cùng trình độ đào tạo, thâmniên công tác dạy cùng cấp học, lớp học (theo bảng lương ban hành kèm theo Nghịđịnh số </w:t>
      </w:r>
      <w:hyperlink r:id="rId5" w:history="1">
        <w:r>
          <w:rPr>
            <w:rStyle w:val="Hyperlink"/>
          </w:rPr>
          <w:t xml:space="preserve">204/2004/NĐ-CP </w:t>
        </w:r>
      </w:hyperlink>
      <w:r>
        <w:t xml:space="preserve"> ngày 14/12/2004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Hỗtrợ hoạt động huy động đến lớp xóa mù chữ, chống tái mù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tiền cho người đi huyđộng vận động số người mù chữ, tái mù chữ trong độ tuổi 15 – 60 tuổi </w:t>
      </w:r>
      <w:r>
        <w:rPr>
          <w:i/>
        </w:rPr>
        <w:t xml:space="preserve">(sauđây gọi tắt là học viên)</w:t>
      </w:r>
      <w:r>
        <w:t xml:space="preserve"> đến lớp xóa mù chữ và học hoàn thành chương trìnhxóa mù chữ, mức chi: 50.000 đồng/học viên/chương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tiền cho giáo viên dạycác lớp xóa mù chữ mua văn phòng phẩm </w:t>
      </w:r>
      <w:r>
        <w:rPr>
          <w:i/>
        </w:rPr>
        <w:t xml:space="preserve">(vở soạn giáo án, bút, phấn viếtbảng...),</w:t>
      </w:r>
      <w:r>
        <w:t xml:space="preserve"> mức chi: 50.000 đồng/lớp.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mua hồ sơ, ấn phẩm lớp họcxóa mù chữ: học bạ, sổ điểm, sổ đầu bài, hồ sơ theo dõi, biểu mẫu thống kê, mứcchi: 100.000 đồng/lớp.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Chithù lao cho người làm công tác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người hưởng thù lao: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Giáo dục và Đào tạo: 05người;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Giáo dục và Đào tạo </w:t>
      </w:r>
      <w:r>
        <w:rPr>
          <w:i/>
        </w:rPr>
        <w:t xml:space="preserve">(đối với nơi có các lớp xóa mù chữ, chống tái mùchữ và học hoàn thành chương trình xóa mù chữ)</w:t>
      </w:r>
      <w:r>
        <w:t xml:space="preserve"> tối đa không quá 2 người/đơnvị;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giáo dục trực tiếp mởlớp xóa mù chữ, chống tái mù chữ: 01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phường, thị trấn </w:t>
      </w:r>
      <w:r>
        <w:rPr>
          <w:i/>
        </w:rPr>
        <w:t xml:space="preserve">(đốivới nơi có các lớp xóa mù chữ, chống tái mù và học hoàn thành chương trình xóamù chữ):</w:t>
      </w:r>
      <w:r>
        <w:t xml:space="preserve"> 01 người/xã,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thù lao: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Giáo dục và Đào tạo, PhòngGiáo dục và Đào tạo: 0,2 x mức lương cơ sở/ 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khu vực III, các cơ sởgiáo dục nằm trên địa bàn khu vực III: 0,25 x mức lương cơ sở/ 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phường, thị trấn, cáccơ sở giáo dục trên địa bàn còn lại: 0,15 x mức lương tối thiểu/ 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hưởng: 12tháng/năm.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Nguồnkinh phí thực hiện: Nguồn Chương trình mục tiêu quốc gia Giáo dục và Đào tạo,nguồn ngân sách tỉnh cấp hàng năm cho ngành Giáo dục và Đào tạo và các nguồntài trợ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Giám đốc Sở Giáo dục và Đào tạo, Sở Tài chính hướng dẫn các đơnvị triển khai thực hiện, phối hợp với các ngành liên quan chỉ đạo, kiểm tra cáccơ sở giáo dục thanh quyết toán đúng đối tượng và định mức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 hiệu lực sau 10 ngày kể từ ngày ký; Các quy địnhtrước đây trái với nội dung tại quyết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Giámđốc các Sở: Giáo dục và Đào tạo, Tài Chính, Kho bạc nhà nước tỉnh, Thủ trưởngcác cơ quan và đơn vị liên quan, Chủ tịch UBND các huyện, thành phố, thị xã,các cơ sở giáo dục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Thị Lệ Thanh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0-2014-nd-cp-pho-cap-giao-duc-xoa-mu-chu.aspx" TargetMode="External" /><Relationship Id="rId4" Type="http://schemas.openxmlformats.org/officeDocument/2006/relationships/hyperlink" Target="/thong-tu-so-139-2010-tt-btc-cua-bo-tai-chinh---quy-dinh-viec-lap-du-toan--quan-ly-va-su-dung-kinh-phi-tu-ngan-sach-nha-nuoc-danh-cho-cong-tac-dao-tao--boi-duong-can-bo--cong-chuc.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2022-06-22T11:17:14Z</dcterms:created>
  <dcterms:modified xsi:type="dcterms:W3CDTF">2022-06-22T11:17:14Z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2022-06-22T11:17:14Z</dcterms:created>
  <dcterms:modified xsi:type="dcterms:W3CDTF">2022-06-22T11:17:14Z</dcterms:modified>
</cp:coreProperties>
</file>