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w:t>
            </w:r>
            <w:r>
              <w:rPr>
                <w:b/>
              </w:rPr>
              <w:br/>
            </w:r>
            <w:r>
              <w:rPr>
                <w:b/>
              </w:rPr>
              <w:t xml:space="preserve">THỪA THIÊN HUẾ</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2499/2005/QĐ-UBND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Huế, ngày 12 tháng 8 năm 2005</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THÀNH LẬP VIỆN QUY HOẠCH XÂY DỰNG TỈNH THỪATHIÊN HUẾ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TỈNH THỪA THIÊN HUẾ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 26/11/2003;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xây dựng ngày 26/11/2003;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10/1998/QĐ-TTg ngày 23/01/1998 của Thủ tướng Chínhphủ phê duyệt định hướng Quy hoạch tổng thể phát triển đô thị Việt Nam đến năm2020;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Nội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Thành lập Viện Quyhoạch xây dựng trực thuộc Uỷ ban nhân dân (UBND) tỉnh Thừa Thiên Huế trên cơ sởTrung tâm Quy hoạch xây dựng thuộc Sở 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Việnlà đơn vị sự nghiệp có thu, có chức năng tham mưu giúp UBND tỉnh lập các dự ánvề lĩnh vực quy hoạch xây dựng vùng, quy hoạch xây dựng đô thị, quy hoạch điểmdân cư nông thôn trên địa bàn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Việnchịu sự quản lý toàn diện về tổ chức, biên chế và hoạt động của UBND tỉnh đồngthời chịu sự hướng dẫn, kiểm tra về chuyên môn, nghiệp vụ của Bộ Xây dựng và SởXây dựng.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Việncó tư cách pháp nhân, có khuôn dấu và tài khoản để hoạt động; trụ sở tại 56Nguyễn Huệ, thành phố Huế.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Giao trách nhiệm choViện trưởng Viện Quy hoạch xây dựng phối hợp với Giám đốc Sở Nội vụ, Giám đốcSở Xây dựng căn cứ vào các Văn bản hướng dẫn của Trung ương và tình hình thựctế của địa phương để xây dựng nhiệm vụ, quyền hạn và cơ cấu tổ chức của Viện đểtrình UBND tỉnh xem xét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Quyết định này cóhiệu lực sau 10 ngày kể từ ngày ký; thay thế Quyết định số 514/QĐ-UB ngày21/3/2003 của UBND tỉnh về việc thành lập Trung tâm Quy hoạch xây dựng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Chánh Văn phòng UBNDtỉnh, Giám đốc Sở Nội vụ, Giám đốc Sở Xây dựng; Viện trưởng Viện quy hoạch xâydựng, Thủ trưởng các Sở, Ban, ngành cấp tỉnh, Chủ tịch UBND các huyện, thànhphố Huế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
                <w:i/>
              </w:rPr>
              <w:br/>
            </w:r>
            <w:r>
              <w:rPr>
                <w:b/>
                <w:i/>
              </w:rPr>
              <w:t xml:space="preserve"> </w:t>
            </w:r>
            <w:r>
              <w:t xml:space="preserve">- Như điều 4</w:t>
            </w:r>
            <w:r>
              <w:rPr/>
              <w:br/>
            </w:r>
            <w:r>
              <w:t xml:space="preserve">- Bộ Xây dựng</w:t>
            </w:r>
            <w:r>
              <w:rPr/>
              <w:br/>
            </w:r>
            <w:r>
              <w:t xml:space="preserve">- Thường vụ Tỉnh uỷ</w:t>
            </w:r>
            <w:r>
              <w:rPr/>
              <w:br/>
            </w:r>
            <w:r>
              <w:t xml:space="preserve">- TT HĐND tỉnh</w:t>
            </w:r>
            <w:r>
              <w:rPr/>
              <w:br/>
            </w:r>
            <w:r>
              <w:t xml:space="preserve">- CT và các PCT UBND tỉnh</w:t>
            </w:r>
            <w:r>
              <w:rPr/>
              <w:br/>
            </w:r>
            <w:r>
              <w:t xml:space="preserve">- Lãnh đạo VP và các CV</w:t>
            </w:r>
            <w:r>
              <w:rPr/>
              <w:br/>
            </w:r>
            <w:r>
              <w:t xml:space="preserve">- Lưu VT;</w:t>
            </w:r>
          </w:p>
        </w:tc>
        <w:tc>
          <w:tcPr>
            <w:tcW w:w="0" w:type="auto"/>
            <w:shd w:val="clear" w:color="auto" w:fill="auto"/>
            <w:vAlign w:val="center"/>
          </w:tcPr>
          <w:p>
            <w:pPr>
              <w:pStyle w:val="Normal(Web)"/>
              <w:rPr>
                <w:vanish w:val="0"/>
              </w:rPr>
            </w:pPr>
            <w:r>
              <w:rPr>
                <w:b/>
              </w:rPr>
              <w:t xml:space="preserve">TM/UỶ BAN NHÂN DÂN TỈNH</w:t>
            </w:r>
            <w:r>
              <w:rPr>
                <w:b/>
              </w:rPr>
              <w:br/>
            </w: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t xml:space="preserve">Nguyễn Xuân Lý</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2022-06-21T00:03:12Z</dcterms:created>
  <dcterms:modified xsi:type="dcterms:W3CDTF">2022-06-21T00:03:12Z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2022-06-21T00:03:12Z</dcterms:created>
  <dcterms:modified xsi:type="dcterms:W3CDTF">2022-06-21T00:03:12Z</dcterms:modified>
</cp:coreProperties>
</file>