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THÀNH PHỐ HỒ CHÍ MINH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33/2014/QĐ-UBND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Thành phố Hồ Chí Minh, ngày 15 tháng 10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DIỆN TÍCH TỐI THIỂU ĐƯỢC TÁCH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Quy hoạch đô thị ngày 17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29 tháng 11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43/2014/NĐ-CP </w:t>
        </w:r>
      </w:hyperlink>
      <w:r>
        <w:rPr>
          <w:i/>
        </w:rPr>
        <w:t xml:space="preserve"> ngày 15 tháng 5 năm 2014 của Chính phủ quy định chi tiết thi hành một số điều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Sở Tài nguyên và Môi trường tại Công văn số 5205/TNMT-QLSDĐ ngày 24 tháng 7 năm 2014 và ý kiến thẩm định của Sở Tư pháp tại Công văn số 3988/STP-VB ngày 24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này quy định diện tích tối thiểu được tách thửa đối với đất ở tại nông thôn và đô thị trên địa bàn Thành phố Hồ Chí Minh theo quy định tại Điều 143 và Điều 144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này không áp dụng cho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quyền sử dụng đất trọn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nhà ở thuộc sở hữu nhà nước theo Nghị định số </w:t>
      </w:r>
      <w:hyperlink r:id="rId4" w:history="1">
        <w:r>
          <w:rPr>
            <w:rStyle w:val="Hyperlink"/>
          </w:rPr>
          <w:t xml:space="preserve">34/2013/NĐ-CP </w:t>
        </w:r>
      </w:hyperlink>
      <w:r>
        <w:t xml:space="preserve"> ngày 22 tháng 4 năm 2013 của Chính phủ về quản lý sử dụng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trường hợp tách thửa do Nhà nước thu hồi một phần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Thửa đất được cơ quan Nhà nước có thẩm quyền cho phép tách thửa để tặng cho, chuyển nhượng cho Nhà nước, hộ gia đình, cá nhân để xây dựng nhà ở theo chính sách xã hội mà có diện tích nhỏ hơn diện tích tối thiểu quy định tại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Thửa đất đang sử dụng được hình thành từ trước ngày Quyết định này có hiệu lực thi hành mà diện tích thửa đất nhỏ hơn diện tích tối thiểu nhưng có đủ điều kiện cấp Giấy chứng nhận quyền sử dụng đất, quyền sở hữu nhà ở và tài sản khác gắn liền với đất (Giấy chứng nhận) thì người sử dụng đất được cấp Giấy chứng nhận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hộ gia đình, cá nhân sử dụng đất có yêu cầu tách thửa đất. Tổ chức, cá nhân khác có quyền và nghĩa vụ liên quan đến việc thực hiện thủ tục tách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thực hiện các thủ tục về tách thửa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Những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đất ở tại nông thôn và đất ở tại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không được tách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vực bảo tồn đã được Ủy ban nhân dân Thành phố phê duyệt danh mục phải bảo tồn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khu vực hiện đang là biệt thự được tiếp tục quản lý theo quy hoạch; biệt thự thuộc sở hữu Nhà nước; biệt thự thuộc nhóm 1 và 2 theo quy định tại Thông tư số </w:t>
      </w:r>
      <w:hyperlink r:id="rId5" w:history="1">
        <w:r>
          <w:rPr>
            <w:rStyle w:val="Hyperlink"/>
          </w:rPr>
          <w:t xml:space="preserve">38/2009/TT-BXD </w:t>
        </w:r>
      </w:hyperlink>
      <w:r>
        <w:t xml:space="preserve"> ngày 08 tháng 12 năm 2009 của Bộ Xây dựng hướng dẫn việc quản lý sử dụng nhà biệt thự tại khu vực đô thị; biệt thự thuộc dự án đã quy hoạch; đất ở thuộc các dự án đã được Nhà nước giao đất, cấp giấy chứng nhận cho từng nền đất theo quy hoạch được duyệt. Trường hợp quy hoạch này không còn phù hợp, phải thực hiện điều chỉnh quy hoạch theo quy định pháp luật trước khi thực hiện tách thửa, việc tách thửa phải đảm bảo đúng theo quy hoạch đã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vị trí nhà, đất ở thuộc khu vực đã có Thông báo thu hồi đất hoặc Quyết định thu hồi đất của cơ quan nhà nước có thẩm quyền thì không được tách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trường hợp không thuộc quy định tại Điểm a, Khoản 1, Điều 3 Quyết định này thì được tách thửa, nhưng phải đảm bảo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Thửa đất mới hình thành và thửa đất còn lại, sau khi trừ lộ giới, diện tích tối thiểu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vực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ở</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ở chưa có nhà (m</w:t>
            </w:r>
            <w:r>
              <w:rPr>
                <w:b/>
                <w:vertAlign w:val="superscript"/>
              </w:rPr>
              <w:t xml:space="preserve">2</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có nhà hiện hữu (m</w:t>
            </w:r>
            <w:r>
              <w:rPr>
                <w:b/>
                <w:vertAlign w:val="superscript"/>
              </w:rPr>
              <w:t xml:space="preserve">2</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vực 1:</w:t>
            </w:r>
            <w:r>
              <w:t xml:space="preserve"> gồm các Quận 1, 3, 4, 5, 6, 8, 10, 11, Gò Vấp, Bình Thạnh, Phú Nhuận, Tân Bình,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50m</w:t>
            </w:r>
            <w:r>
              <w:rPr>
                <w:vertAlign w:val="superscript"/>
              </w:rPr>
              <w:t xml:space="preserve">2</w:t>
            </w:r>
            <w:r>
              <w:t xml:space="preserve"> và chiều rộng mặt tiền thửa đất không nhỏ hơn 04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45m</w:t>
            </w:r>
            <w:r>
              <w:rPr>
                <w:vertAlign w:val="superscript"/>
              </w:rPr>
              <w:t xml:space="preserve">2</w:t>
            </w:r>
            <w:r>
              <w:t xml:space="preserve"> và chiều rộng mặt tiền thửa đất không nhỏ hơn 03 mét tại đường phố có lộ giới ≥ 20 mét; 36m</w:t>
            </w:r>
            <w:r>
              <w:rPr>
                <w:vertAlign w:val="superscript"/>
              </w:rPr>
              <w:t xml:space="preserve">2</w:t>
            </w:r>
            <w:r>
              <w:t xml:space="preserve"> và chiều rộng mặt tiền thửa đất không nhỏ hơn 03 mét tại đường phố có lộ giới &lt; 20=""&gt;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vực 2:</w:t>
            </w:r>
            <w:r>
              <w:t xml:space="preserve"> gồm các Quận 2, 7, 9, 12, Bình Tân, Thủ Đức và thị trấn các huyện được quy hoạch đô thị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80m</w:t>
            </w:r>
            <w:r>
              <w:rPr>
                <w:vertAlign w:val="superscript"/>
              </w:rPr>
              <w:t xml:space="preserve">2</w:t>
            </w:r>
            <w:r>
              <w:t xml:space="preserve"> và chiều rộng mặt tiền thửa đất không nhỏ hơn 05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50m</w:t>
            </w:r>
            <w:r>
              <w:rPr>
                <w:vertAlign w:val="superscript"/>
              </w:rPr>
              <w:t xml:space="preserve">2</w:t>
            </w:r>
            <w:r>
              <w:t xml:space="preserve"> và chiều rộng mặt tiền thửa đất không nhỏ hơn 04 mét.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vực 3:</w:t>
            </w:r>
            <w:r>
              <w:t xml:space="preserve"> gồm các huyện Bình Chánh, Củ Chi, Hóc Môn, Nhà Bè, Cần Giờ, ngoại trừ thị trấn hoặc khu vực được quy hoạch đô thị hóa thuộc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120m</w:t>
            </w:r>
            <w:r>
              <w:rPr>
                <w:vertAlign w:val="superscript"/>
              </w:rPr>
              <w:t xml:space="preserve">2</w:t>
            </w:r>
            <w:r>
              <w:t xml:space="preserve"> và chiều rộng mặt tiền thửa đất không nhỏ hơn 07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80m</w:t>
            </w:r>
            <w:r>
              <w:rPr>
                <w:vertAlign w:val="superscript"/>
              </w:rPr>
              <w:t xml:space="preserve">2</w:t>
            </w:r>
            <w:r>
              <w:t xml:space="preserve"> và chiều rộng mặt tiền thửa đất không nhỏ hơn 05 mét.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được hạ tầng kỹ thuật theo quy hoạch và kết nối, đồng bộ với hạ tầng kỹ thuật hiện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thửa đất khi tách thửa sẽ hình thành đường giao thông và hạ tầng kỹ thuật khác, Ủy ban nhân dân quận, huyện có trách nhiệm hướng dẫn thực hiện đảm bảo kết nối hạ tầng kỹ thuật chung của khu vực. Diện tích làm đường giao thông, hạ tầng kỹ thuật khác được đưa vào sử dụng chung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thửa đất nằm trong khu dân cư hiện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thửa đất không thuộc khu vực Nhà nước phải thu hồi để đầu tư theo quy hoạch hoặc kế hoạch sử dụng đất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quận, huyện căn cứ nhu cầu của người sử dụng đất, xem xét từng trường hợp cụ thể để giải quyết chuyển mục đích sử dụng đất toàn bộ thửa đất hoặc một phần thửa đất sang đất ở, đồng thời với việc thực hiện tách thửa đất. Thửa đất sau khi chuyển mục đích sử dụng đất và tách thửa phải đảm bảo các điều kiện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thửa đất thuộc khu vực Nhà nước phải thu hồi để đầu tư theo quy hoạch hoặc kế hoạch sử dụng đất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thửa đất nằm trong quy hoạch sử dụng đất đã được công bố mà chưa có kế hoạch sử dụng đất hàng năm của cấp huyện đã được phê duyệt và đã được công bố thì được tách thửa theo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thửa đất nằm trong quy hoạch sử dụng đất đã được công bố và đã có kế hoạch sử dụng đất hàng năm của cấp huyện được phê duyệt và đã được công bố thì tiếp tục thực hiện các quyền của người sử dụng đất nhưng không được xây dựng mới nhà ở, công trình, trồng cây lâu năm; nếu người sử dụng đất có nhu cầu cải tạo, sửa chữa nhà ở, công trình hiện có thì phải được cơ quan nhà nước có thẩm quyền cho phép theo quy định pháp luật. Trường hợp thửa đất đã có Thông báo thu hồi đất hoặc Quyết định thu hồi đất của cơ quan Nhà nước có thẩm quyền thì không được tách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thửa đất khi tách thửa có hình thành đường giao thông và hạ tầng kỹ thuật: Người sử dụng đất có trách nhiệm đầu tư hoàn thiện, bàn giao và không phải nộp tiền sử dụng đất đối với diện tích đất làm đường giao thông và hạ tầng kỹ thuật; Ủy ban nhân dân quận, huyện nơi có thửa đất có trách nhiệm tiếp nhận và quản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tách thửa để hợp thửa với thửa đất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Thửa đất tách ra để hợp thửa với thửa liền kề được phép có diện tích nhỏ hơn diện tích tối thiểu được tách thửa theo Quyết định này, nhưng diện tích thửa đất còn lại phải lớn hơn hoặc bằng diện tích tối thiểu được tách thửa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điều chỉnh ranh giữa các thửa để có hình thể thửa cho phù hợp và diện tích các thửa đất sau khi điều chỉnh ranh không thay đổi, giao Chủ tịch Ủy ban nhân dân quận, huyện giải quyết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quy hoạch để xem xét giải quyết tách thửa, chuyển mục đích sử dụng đất sang đất ở của hộ gia đình, cá nhân: Căn cứ quy hoạch phân khu tỷ lệ 1/2000 hoặc quy hoạch nông thôn mới đã được cơ quan Nhà nước có thẩm quyền phê duyệt để xem xét giải quyết; trường hợp chưa có quy hoạch phân khu tỷ lệ 1/2000 được cơ quan Nhà nước có thẩm quyền phê duyệt, thì căn cứ quy hoạch sử dụng đất đã được cơ quan Nhà nước có thẩm quyền phê duyệt để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Trách nhiệm của Ủy ban nhân dân quận,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hộ gia đình, cá nhân thuộc chuẩn hộ nghèo, hộ cận nghèo Thành phố hoặc khi thừa kế thì giải quyết như sau: Ủy ban nhân dân quận, huyện căn cứ quy hoạch, hạ tầng kỹ thuật đô thị, điều kiện để hợp khối, cảnh quan khu vực và quy chuẩn xây dựng để giải quyết, nhưng diện tích tối thiểu của thửa đất hình thành không nhỏ hơn 25m</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và kiểm tra nghiệm thu việc đầu tư hạ tầng kỹ thuật đối với trường hợp tách thửa có hình thành đường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Thường xuyên chỉ đạo các phòng, ban chức năng và Ủy ban nhân dân phường, xã, thị trấn kiểm tra phát hiện xử lý những trường hợp tách thửa đất không đúng quy định; đảm bảo được hạ tầng đô thị theo quy hoạch được duyệt và không làm phát sinh hậu quả trong công tác quản lý nhà, đất sau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Ủy ban nhân dân quận, huyện báo cáo về Sở Tài nguyên và Môi trường để phối hợp các ngành liên quan hướng dẫn giải quyết hoặc tổng hợp tình hình, trình Ủy ban nhân dân Thành phố xem xét, giải quyết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Giao Ủy ban nhân dân quận, huyện chịu trách nhiệm xây dựng kế hoạch triển khai thực hiện Quyết định này. Thường xuyên kiểm tra, rà soát công tác tách thửa và chuyển mục đích sử dụng đất trên địa bàn, ngăn chặn, xử lý nghiêm các trường hợp tổ chức, cá nhân nhận chuyển nhượng quyền sử dụng đất nông nghiệp không đúng quy định của pháp luật, phân lô tách thửa không đúng quy hoạch, chuyển mục đích sử dụng đất nhằm mục đích kinh doanh không đúng quy định của Luật Kinh doanh bất động sản và không đảm bảo về cơ sở hạ tầng kỹ thuật. Định kỳ 06 (sáu) tháng/01 lần, báo cáo kết quả cho Ủy ban nhân dân Thành phố và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Quyết định này có hiệu lực sau 10 ngày, kể từ ngày ký. Quyết định này thay thế Quyết định số 19/2009/QĐ-UBND ngày 25 tháng 02 năm 2009 quy định về diện tích đất tối thiểu sau khi tách thửa và Quyết định số 54/2012/QĐ-UBND ngày 03 tháng 12 năm 2012 về sửa đổi, bổ sung một số điều của Quyết định số 19/2009/QĐ-UBND ngày 25 tháng 02 năm 2009 của Ủy ban nhân dân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Chánh Văn phòng Ủy ban nhân dân Thành phố, Giám đốc Sở Tài nguyên và Môi trường, Giám đốc Sở Xây dựng, Giám đốc Sở Quy hoạch - Kiến trúc, Giám đốc Sở Tư pháp, Giám đốc Sở Nông nghiệp và Phát triển nông thôn, Thủ trưởng các sở - ngành Thành phố, tổ chức hành nghề công chứng, Chủ tịch Ủy ban nhân dân quận, huyện, phường, xã, thị trấn và người sử dụng đất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6;</w:t>
            </w:r>
            <w:r>
              <w:rPr/>
              <w:br/>
            </w:r>
            <w:r>
              <w:t xml:space="preserve">- Văn phòng Chính phủ;</w:t>
            </w:r>
            <w:r>
              <w:rPr/>
              <w:br/>
            </w:r>
            <w:r>
              <w:t xml:space="preserve">- Bộ Tư pháp;</w:t>
            </w:r>
            <w:r>
              <w:rPr/>
              <w:br/>
            </w:r>
            <w:r>
              <w:t xml:space="preserve">- Bộ Tài nguyên và Môi trường;</w:t>
            </w:r>
            <w:r>
              <w:rPr/>
              <w:br/>
            </w:r>
            <w:r>
              <w:t xml:space="preserve">- Cục kiểm tra văn bản QPPL-Bộ Tư pháp;</w:t>
            </w:r>
            <w:r>
              <w:rPr/>
              <w:br/>
            </w:r>
            <w:r>
              <w:t xml:space="preserve">- Thường trực Thành ủy;</w:t>
            </w:r>
            <w:r>
              <w:rPr/>
              <w:br/>
            </w:r>
            <w:r>
              <w:t xml:space="preserve">- Thường trực HĐND. TP;</w:t>
            </w:r>
            <w:r>
              <w:rPr/>
              <w:br/>
            </w:r>
            <w:r>
              <w:t xml:space="preserve">- TTUB: CT, các PCT;</w:t>
            </w:r>
            <w:r>
              <w:rPr/>
              <w:br/>
            </w:r>
            <w:r>
              <w:t xml:space="preserve">- Đoàn Đại biểu QH Thành phố;</w:t>
            </w:r>
            <w:r>
              <w:rPr/>
              <w:br/>
            </w:r>
            <w:r>
              <w:t xml:space="preserve">- Ủy ban MTTQ Việt Nam Thành phố;</w:t>
            </w:r>
            <w:r>
              <w:rPr/>
              <w:br/>
            </w:r>
            <w:r>
              <w:t xml:space="preserve">- VPUB: các PVP;</w:t>
            </w:r>
            <w:r>
              <w:rPr/>
              <w:br/>
            </w:r>
            <w:r>
              <w:t xml:space="preserve">- Phòng Chuyên viên; TTCB;</w:t>
            </w:r>
            <w:r>
              <w:rPr/>
              <w:br/>
            </w:r>
            <w:r>
              <w:t xml:space="preserve">- Lưu VT, (ĐTMT/pth)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Hữu Tín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nghi-dinh-34-2013-nd-cp-cua-chinh-phu-ve-quan-ly-su-dung-nha-o-thuoc-so-huu-nha-nuoc.aspx" TargetMode="External" /><Relationship Id="rId5" Type="http://schemas.openxmlformats.org/officeDocument/2006/relationships/hyperlink" Target="/thong-tu-38-2009-tt-bxd.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2022-06-22T15:13:06Z</dcterms:created>
  <dcterms:modified xsi:type="dcterms:W3CDTF">2022-06-22T15:13:06Z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2022-06-22T15:13:06Z</dcterms:created>
  <dcterms:modified xsi:type="dcterms:W3CDTF">2022-06-22T15:13:06Z</dcterms:modified>
</cp:coreProperties>
</file>