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w:t>
            </w:r>
            <w:r>
              <w:t xml:space="preserve"> </w:t>
            </w:r>
          </w:p>
          <w:p>
            <w:pPr>
              <w:pStyle w:val="Normal(Web)"/>
              <w:rPr>
                <w:vanish w:val="0"/>
              </w:rPr>
            </w:pPr>
            <w:r>
              <w:t xml:space="preserve">Số: 35/2013/QĐ-TTg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CỘNG HÒA XÃ HỘI CHỦ NGHĨA VIỆT NAM</w:t>
            </w:r>
            <w:r>
              <w:rPr>
                <w:b/>
              </w:rPr>
              <w:br/>
            </w: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w:t>
            </w:r>
            <w:r>
              <w:rPr/>
              <w:br/>
            </w:r>
            <w:r>
              <w:t xml:space="preserve"> </w:t>
            </w:r>
            <w:r>
              <w:rPr>
                <w:i/>
              </w:rPr>
              <w:t xml:space="preserve">Hà Nội, ngày 07 tháng 06 năm 2013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hoạt động của Kiểm soát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ty trách nhiệm hữu hạn một thành viên do Nhà nước nắm giữ 100% vốn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w:t>
      </w:r>
    </w:p>
    <w:p>
      <w:pPr>
        <w:pStyle w:val="Normal(Web)"/>
        <w:divId w:val="2"/>
        <w:jc w:val="center"/>
        <w:rPr>
          <w:vanish w:val="0"/>
        </w:rPr>
      </w:pPr>
      <w:r>
        <w:rPr>
          <w:i/>
        </w:rPr>
        <w:t xml:space="preserve">Căn cứ Luật Tổ chức Chính phủ ngày 25 tháng 12 năm 2001;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Doanh nghiệp ngày 29 tháng 11 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3" w:history="1">
        <w:r>
          <w:rPr>
            <w:rStyle w:val="Hyperlink"/>
            <w:i/>
          </w:rPr>
          <w:t xml:space="preserve">99/2012/NĐ-CP </w:t>
        </w:r>
      </w:hyperlink>
      <w:r>
        <w:rPr>
          <w:i/>
        </w:rPr>
        <w:t xml:space="preserve"> ngày 15 tháng 11 năm 2012 của Chính phủ về phân công, phân cấp thực hiện các quyền, trách nhiệm, nghĩa vụ của chủ sở hữu nhà nước đối với doanh nghiệp nhà nước và vốn Nhà nước đầu tư vào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66/2011/NĐ-CP </w:t>
        </w:r>
      </w:hyperlink>
      <w:r>
        <w:rPr>
          <w:i/>
        </w:rPr>
        <w:t xml:space="preserve"> ngày 01/8/2011 của Chính phủ về việc áp dụng Luật Cán bộ, công chức đối với chức danh lãnh đạo, quản lý công ty trách nhiệm hữu hạn một thành viên do Nhà nước làm chủ sở hữu và người đại diện chủ sở hữu phần vốn của Nhà nước tại doanh nghiệp có vốn góp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Thủ tướng Chính phủ ban hành Quyết định về Quy chế hoạt động của Kiểm soát viên công ty trách nhiệm hữu hạn một thành viên do Nhà nước nắm giữ 100% vốn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Quyết định này Quy chế hoạt động của Kiểm soát viên công ty trách nhiệm hữu hạn một thành viên do Nhà nước nắm giữ 100% vốn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Quyết định này có hiệu lực từ ngày 25 tháng 7 năm 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Các Bộ, cơ quan ngang Bộ, cơ quan thuộc Chính phủ, Ủy ban nhân dân tỉnh, thành phố trực thuộc Trung ương, Hội đồng thành viên hoặc Chủ tịch công ty, Tổng Giám đốc (Giám đốc), Kiểm soát viên của công ty trách nhiệm hữu hạn một thành viên do Nhà nước nắm giữ 100% vốn điều lệ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9-2012-nd-cp-thuc-hien-quyen--nghia-vu-cua-chu-so-huu-nha-nuoc-doi-voi-doanh-nghiep-nha-nuoc--doanh-nghiep-co-von-nha-nuoc.aspx" TargetMode="External" /><Relationship Id="rId4" Type="http://schemas.openxmlformats.org/officeDocument/2006/relationships/hyperlink" Target="/nghi-dinh-66-2011-nd-cp--ap-dung-luat-can-bo--cong-ch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2022-06-22T10:04:20Z</dcterms:created>
  <dcterms:modified xsi:type="dcterms:W3CDTF">2022-06-22T10:04:20Z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2022-06-22T10:04:20Z</dcterms:created>
  <dcterms:modified xsi:type="dcterms:W3CDTF">2022-06-22T10:04:20Z</dcterms:modified>
</cp:coreProperties>
</file>