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2354/QĐ-NHNN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10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XẾP HẠNG DOANH NGHIỆP HẠNG I CHO 16 CHI NHÁNH, SỞ GIAO DỊCH </w:t>
      </w:r>
    </w:p>
    <w:p>
      <w:pPr>
        <w:pStyle w:val="Normal(Web)"/>
        <w:divId w:val="7"/>
        <w:jc w:val="center"/>
        <w:rPr>
          <w:vanish w:val="0"/>
        </w:rPr>
      </w:pPr>
      <w:r>
        <w:rPr>
          <w:b/>
        </w:rPr>
        <w:t xml:space="preserve">THUỘC NGÂN HÀNG ĐẦU TƯ VÀ PHÁT TRIỂN VIỆT NAM</w:t>
      </w:r>
    </w:p>
    <w:p>
      <w:pPr>
        <w:pStyle w:val="Normal(Web)"/>
        <w:divId w:val="8"/>
        <w:jc w:val="center"/>
        <w:rPr>
          <w:vanish w:val="0"/>
        </w:rPr>
      </w:pPr>
      <w:r>
        <w:t xml:space="preserve">-----------------</w:t>
      </w:r>
    </w:p>
    <w:p>
      <w:pPr>
        <w:pStyle w:val="Normal(Web)"/>
        <w:divId w:val="9"/>
        <w:jc w:val="center"/>
        <w:rPr>
          <w:vanish w:val="0"/>
        </w:rPr>
      </w:pPr>
      <w:r>
        <w:t xml:space="preserve">THỐNG ĐỐC NGÂN HÀNG NHÀ NƯỚC</w:t>
      </w:r>
    </w:p>
    <w:p>
      <w:pPr>
        <w:pStyle w:val="Normal(Web)"/>
        <w:divId w:val="10"/>
        <w:rPr>
          <w:vanish w:val="0"/>
        </w:rPr>
      </w:pPr>
      <w:r>
        <w:rPr>
          <w:i/>
        </w:rPr>
        <w:t xml:space="preserve">Căn cứ Luật Ngân hàng Nhà nước Việt Nam số </w:t>
      </w:r>
      <w:hyperlink r:id="rId3" w:history="1">
        <w:r>
          <w:rPr>
            <w:rStyle w:val="Hyperlink"/>
            <w:i/>
          </w:rPr>
          <w:t xml:space="preserve">46/2010/QH12 </w:t>
        </w:r>
      </w:hyperlink>
      <w:r>
        <w:rPr>
          <w:i/>
        </w:rPr>
        <w:t xml:space="preserve"> ngày 16/6/2010;</w:t>
      </w:r>
    </w:p>
    <w:p>
      <w:pPr>
        <w:pStyle w:val="Normal(Web)"/>
        <w:divId w:val="11"/>
        <w:rPr>
          <w:vanish w:val="0"/>
        </w:rPr>
      </w:pPr>
      <w:r>
        <w:rPr>
          <w:i/>
        </w:rPr>
        <w:t xml:space="preserve">Căn cứ Nghị định số </w:t>
      </w:r>
      <w:hyperlink r:id="rId4" w:history="1">
        <w:r>
          <w:rPr>
            <w:rStyle w:val="Hyperlink"/>
            <w:i/>
          </w:rPr>
          <w:t xml:space="preserve">96/2008/NĐ-CP </w:t>
        </w:r>
      </w:hyperlink>
      <w:r>
        <w:rPr>
          <w:i/>
        </w:rPr>
        <w:t xml:space="preserve"> ngày 26/8/2008 của Chính phủ quy định chức năng, nhiệm vụ, quyền hạn và cơ cấu tổ chức của Ngân hàng Nhà nước;</w:t>
      </w:r>
    </w:p>
    <w:p>
      <w:pPr>
        <w:pStyle w:val="Normal(Web)"/>
        <w:divId w:val="12"/>
        <w:rPr>
          <w:vanish w:val="0"/>
        </w:rPr>
      </w:pPr>
      <w:r>
        <w:rPr>
          <w:i/>
        </w:rPr>
        <w:t xml:space="preserve">Căn cứ Công văn số 13699/BTC-TCNH ngày 12/10/2011 của Bộ Tài chính về việc xếp hạng doanh nghiệp hạng I cho một số chi nhánh thuộc Ngân hàng Đầu tư và Phát triển Việt Nam;</w:t>
      </w:r>
    </w:p>
    <w:p>
      <w:pPr>
        <w:pStyle w:val="Normal(Web)"/>
        <w:divId w:val="13"/>
        <w:rPr>
          <w:vanish w:val="0"/>
        </w:rPr>
      </w:pPr>
      <w:r>
        <w:rPr>
          <w:i/>
        </w:rPr>
        <w:t xml:space="preserve">Căn cứ Công văn số 3418/LĐTBXH-LĐTL ngày 12/10/2011 của Bộ Lao động - Thương binh và Xã hội về việc xếp hạng doanh nghiệp hạng I cho một số chi nhánh thuộc Ngân hàng Đầu tư và Phát triển Việt Nam;</w:t>
      </w:r>
    </w:p>
    <w:p>
      <w:pPr>
        <w:pStyle w:val="Normal(Web)"/>
        <w:divId w:val="14"/>
        <w:rPr>
          <w:vanish w:val="0"/>
        </w:rPr>
      </w:pPr>
      <w:r>
        <w:rPr>
          <w:i/>
        </w:rPr>
        <w:t xml:space="preserve">Xét đề nghị của Vụ trưởng Vụ Tổ chức cán bộ,</w:t>
      </w:r>
    </w:p>
    <w:p>
      <w:pPr>
        <w:pStyle w:val="Normal(Web)"/>
        <w:divId w:val="15"/>
        <w:jc w:val="center"/>
        <w:rPr>
          <w:vanish w:val="0"/>
        </w:rPr>
      </w:pPr>
      <w:r>
        <w:rPr>
          <w:b/>
        </w:rPr>
        <w:t xml:space="preserve">QUYẾT ĐỊNH:</w:t>
      </w:r>
    </w:p>
    <w:p>
      <w:pPr>
        <w:pStyle w:val="Normal(Web)"/>
        <w:divId w:val="16"/>
        <w:rPr>
          <w:vanish w:val="0"/>
        </w:rPr>
      </w:pPr>
      <w:r>
        <w:rPr>
          <w:b/>
        </w:rPr>
        <w:t xml:space="preserve">Điều 1. </w:t>
      </w:r>
      <w:r>
        <w:t xml:space="preserve">Xếp hạng doanh nghiệp hạng I cho 16 chi nhánh, sở giao dịch dưới đây thuộc Ngân hàng Đầu tư và Phát triển Việt Nam, kể từ ngày 01/01/2011:</w:t>
      </w:r>
    </w:p>
    <w:p>
      <w:pPr>
        <w:pStyle w:val="Normal(Web)"/>
        <w:divId w:val="17"/>
        <w:rPr>
          <w:vanish w:val="0"/>
        </w:rPr>
      </w:pPr>
      <w:r>
        <w:t xml:space="preserve">1. Ngân hàng Đầu tư và Phát triển Hải Phòng</w:t>
      </w:r>
    </w:p>
    <w:p>
      <w:pPr>
        <w:pStyle w:val="Normal(Web)"/>
        <w:divId w:val="18"/>
        <w:rPr>
          <w:vanish w:val="0"/>
        </w:rPr>
      </w:pPr>
      <w:r>
        <w:t xml:space="preserve">2. Ngân hàng Đầu tư và Phát triển Gia Lai</w:t>
      </w:r>
    </w:p>
    <w:p>
      <w:pPr>
        <w:pStyle w:val="Normal(Web)"/>
        <w:divId w:val="19"/>
        <w:rPr>
          <w:vanish w:val="0"/>
        </w:rPr>
      </w:pPr>
      <w:r>
        <w:t xml:space="preserve">3. Ngân hàng Đầu tư và Phát triển Bà Rịa-Vũng Tàu</w:t>
      </w:r>
    </w:p>
    <w:p>
      <w:pPr>
        <w:pStyle w:val="Normal(Web)"/>
        <w:divId w:val="20"/>
        <w:rPr>
          <w:vanish w:val="0"/>
        </w:rPr>
      </w:pPr>
      <w:r>
        <w:t xml:space="preserve">4. Ngân hàng Đầu tư và Phát triển Sài Gòn</w:t>
      </w:r>
    </w:p>
    <w:p>
      <w:pPr>
        <w:pStyle w:val="Normal(Web)"/>
        <w:divId w:val="21"/>
        <w:rPr>
          <w:vanish w:val="0"/>
        </w:rPr>
      </w:pPr>
      <w:r>
        <w:t xml:space="preserve">5. Ngân hàng Đầu tư và Phát triển Hà Nội</w:t>
      </w:r>
    </w:p>
    <w:p>
      <w:pPr>
        <w:pStyle w:val="Normal(Web)"/>
        <w:divId w:val="22"/>
        <w:rPr>
          <w:vanish w:val="0"/>
        </w:rPr>
      </w:pPr>
      <w:r>
        <w:t xml:space="preserve">6. Ngân hàng Đầu tư và Phát triển TP. Hồ Chí Minh</w:t>
      </w:r>
    </w:p>
    <w:p>
      <w:pPr>
        <w:pStyle w:val="Normal(Web)"/>
        <w:divId w:val="23"/>
        <w:rPr>
          <w:vanish w:val="0"/>
        </w:rPr>
      </w:pPr>
      <w:r>
        <w:t xml:space="preserve">7. Ngân hàng Đầu tư và Phát triển Đà Nẵng</w:t>
      </w:r>
    </w:p>
    <w:p>
      <w:pPr>
        <w:pStyle w:val="Normal(Web)"/>
        <w:divId w:val="24"/>
        <w:rPr>
          <w:vanish w:val="0"/>
        </w:rPr>
      </w:pPr>
      <w:r>
        <w:t xml:space="preserve">8. Ngân hàng Đầu tư và Phát triển Bình Định</w:t>
      </w:r>
    </w:p>
    <w:p>
      <w:pPr>
        <w:pStyle w:val="Normal(Web)"/>
        <w:divId w:val="25"/>
        <w:rPr>
          <w:vanish w:val="0"/>
        </w:rPr>
      </w:pPr>
      <w:r>
        <w:t xml:space="preserve">9. Ngân hàng Đầu tư và Phát triển Quảng Bình</w:t>
      </w:r>
    </w:p>
    <w:p>
      <w:pPr>
        <w:pStyle w:val="Normal(Web)"/>
        <w:divId w:val="26"/>
        <w:rPr>
          <w:vanish w:val="0"/>
        </w:rPr>
      </w:pPr>
      <w:r>
        <w:t xml:space="preserve">10. Ngân hàng Đầu tư và Phát triển Hà Thành</w:t>
      </w:r>
    </w:p>
    <w:p>
      <w:pPr>
        <w:pStyle w:val="Normal(Web)"/>
        <w:divId w:val="27"/>
        <w:rPr>
          <w:vanish w:val="0"/>
        </w:rPr>
      </w:pPr>
      <w:r>
        <w:t xml:space="preserve">11. Ngân hàng Đầu tư và Phát triển Bắc Hà Nội</w:t>
      </w:r>
    </w:p>
    <w:p>
      <w:pPr>
        <w:pStyle w:val="Normal(Web)"/>
        <w:divId w:val="28"/>
        <w:rPr>
          <w:vanish w:val="0"/>
        </w:rPr>
      </w:pPr>
      <w:r>
        <w:t xml:space="preserve">12. Ngân hàng Đầu tư và Phát triển Đồng Nai</w:t>
      </w:r>
    </w:p>
    <w:p>
      <w:pPr>
        <w:pStyle w:val="Normal(Web)"/>
        <w:divId w:val="29"/>
        <w:rPr>
          <w:vanish w:val="0"/>
        </w:rPr>
      </w:pPr>
      <w:r>
        <w:t xml:space="preserve">13. Ngân hàng Đầu tư và Phát triển Bình Dương</w:t>
      </w:r>
    </w:p>
    <w:p>
      <w:pPr>
        <w:pStyle w:val="Normal(Web)"/>
        <w:divId w:val="30"/>
        <w:rPr>
          <w:vanish w:val="0"/>
        </w:rPr>
      </w:pPr>
      <w:r>
        <w:t xml:space="preserve">14. Sở giao dịch 1</w:t>
      </w:r>
    </w:p>
    <w:p>
      <w:pPr>
        <w:pStyle w:val="Normal(Web)"/>
        <w:divId w:val="31"/>
        <w:rPr>
          <w:vanish w:val="0"/>
        </w:rPr>
      </w:pPr>
      <w:r>
        <w:t xml:space="preserve">15. Sở giao dịch 2</w:t>
      </w:r>
    </w:p>
    <w:p>
      <w:pPr>
        <w:pStyle w:val="Normal(Web)"/>
        <w:divId w:val="32"/>
        <w:rPr>
          <w:vanish w:val="0"/>
        </w:rPr>
      </w:pPr>
      <w:r>
        <w:t xml:space="preserve">16. Sở giao dịch 3.</w:t>
      </w:r>
    </w:p>
    <w:p>
      <w:pPr>
        <w:pStyle w:val="Normal(Web)"/>
        <w:divId w:val="33"/>
        <w:rPr>
          <w:vanish w:val="0"/>
        </w:rPr>
      </w:pPr>
      <w:r>
        <w:rPr>
          <w:b/>
        </w:rPr>
        <w:t xml:space="preserve">Điều 2. </w:t>
      </w:r>
      <w:r>
        <w:t xml:space="preserve">Việc xếp lương và hưởng phụ cấp chức vụ lãnh đạo theo hạng doanh nghiệp hạng I đối với các chức danh lãnh đạo và quản lý của các chi nhánh nêu trên được thực hiện kể từ ngày 01/01/2011.</w:t>
      </w:r>
    </w:p>
    <w:p>
      <w:pPr>
        <w:pStyle w:val="Normal(Web)"/>
        <w:divId w:val="34"/>
        <w:rPr>
          <w:vanish w:val="0"/>
        </w:rPr>
      </w:pPr>
      <w:r>
        <w:rPr>
          <w:b/>
        </w:rPr>
        <w:t xml:space="preserve">Điều 3.</w:t>
      </w:r>
      <w:r>
        <w:t xml:space="preserve"> Chánh Văn phòng, Vụ trưởng Vụ Tổ chức cán bộ Ngân hàng Nhà nước, Chủ tịch Hội đồng Quản trị, Tổng Giám đốc Ngân hàng Đầu tư và Phát triển Việt Nam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
              <w:rPr>
                <w:vanish w:val="0"/>
              </w:rPr>
            </w:pPr>
            <w:r>
              <w:rPr>
                <w:b/>
                <w:i/>
              </w:rPr>
              <w:t xml:space="preserve">Nơi nhận:</w:t>
            </w:r>
            <w:r>
              <w:rPr>
                <w:b/>
                <w:i/>
              </w:rPr>
              <w:br/>
            </w:r>
            <w:r>
              <w:rPr>
                <w:b/>
                <w:i/>
              </w:rPr>
              <w:t xml:space="preserve"> </w:t>
            </w:r>
            <w:r>
              <w:t xml:space="preserve">- Như điều 3;</w:t>
            </w:r>
            <w:r>
              <w:rPr/>
              <w:br/>
            </w:r>
            <w:r>
              <w:t xml:space="preserve">- Bộ LĐTBXH;</w:t>
            </w:r>
            <w:r>
              <w:rPr/>
              <w:br/>
            </w:r>
            <w:r>
              <w:t xml:space="preserve">- Bộ Tài chính;</w:t>
            </w:r>
            <w:r>
              <w:rPr/>
              <w:br/>
            </w:r>
            <w:r>
              <w:t xml:space="preserve">- Lưu VP, TCCB1.</w:t>
            </w:r>
          </w:p>
        </w:tc>
        <w:tc>
          <w:tcPr>
            <w:tcW w:w="0" w:type="auto"/>
            <w:shd w:val="clear" w:color="auto" w:fill="auto"/>
            <w:vAlign w:val="center"/>
          </w:tcPr>
          <w:p>
            <w:pPr>
              <w:pStyle w:val="Normal(Web)"/>
              <w:divId w:val="36"/>
              <w:jc w:val="center"/>
              <w:rPr>
                <w:vanish w:val="0"/>
              </w:rPr>
            </w:pPr>
            <w:r>
              <w:rPr>
                <w:b/>
              </w:rPr>
              <w:t xml:space="preserve">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Bình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gan-hang-nha-nuoc-viet-nam-so-46-2010-qh12.aspx" TargetMode="External" /><Relationship Id="rId4" Type="http://schemas.openxmlformats.org/officeDocument/2006/relationships/hyperlink" Target="/nghi-dinh-so-96-2008-nd-cp-cua-chinh-phu---quy-dinh-chuc-nang--nhiem-vu--quyen-han-va-co-cau-to-chuc-cua-ngan-hang-nha-nuoc-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2022-06-21T16:33:45Z</dcterms:created>
  <dcterms:modified xsi:type="dcterms:W3CDTF">2022-06-21T16:33:45Z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2022-06-21T16:33:45Z</dcterms:created>
  <dcterms:modified xsi:type="dcterms:W3CDTF">2022-06-21T16:33:45Z</dcterms:modified>
</cp:coreProperties>
</file>