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61/2009/QĐ-TTg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4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QUYẾT ĐỊNH</w:t>
      </w:r>
    </w:p>
    <w:p>
      <w:pPr>
        <w:pStyle w:val="Normal(Web)"/>
        <w:divId w:val="7"/>
        <w:jc w:val="center"/>
        <w:rPr>
          <w:vanish w:val="0"/>
        </w:rPr>
      </w:pPr>
      <w:r>
        <w:t xml:space="preserve">Về việc ban hành Quy chế tổ chức và hoạt động của trường đại học tư thục</w:t>
      </w:r>
    </w:p>
    <w:p>
      <w:pPr>
        <w:pStyle w:val="Normal(Web)"/>
        <w:divId w:val="8"/>
        <w:jc w:val="center"/>
        <w:rPr>
          <w:vanish w:val="0"/>
        </w:rPr>
      </w:pPr>
      <w:r>
        <w:t xml:space="preserve">______________________________</w:t>
      </w:r>
    </w:p>
    <w:p>
      <w:pPr>
        <w:pStyle w:val="Normal(Web)"/>
        <w:divId w:val="9"/>
        <w:jc w:val="center"/>
        <w:rPr>
          <w:vanish w:val="0"/>
        </w:rPr>
      </w:pPr>
      <w:r>
        <w:rPr>
          <w:b/>
        </w:rPr>
        <w:t xml:space="preserve">THỦ TƯỚNG CHÍNH PHỦ</w:t>
      </w:r>
    </w:p>
    <w:p>
      <w:pPr>
        <w:pStyle w:val="Normal(Web)"/>
        <w:divId w:val="10"/>
        <w:rPr>
          <w:vanish w:val="0"/>
        </w:rPr>
      </w:pPr>
      <w:r>
        <w:t xml:space="preserve">Căn cứ Luật Tổ chức Chính phủ ngày 25 tháng 12 năm 2001;</w:t>
      </w:r>
    </w:p>
    <w:p>
      <w:pPr>
        <w:pStyle w:val="Normal(Web)"/>
        <w:divId w:val="11"/>
        <w:rPr>
          <w:vanish w:val="0"/>
        </w:rPr>
      </w:pPr>
      <w:r>
        <w:t xml:space="preserve">Căn cứ Luật Giáo dục ngày 14 tháng 6 năm 2005;</w:t>
      </w:r>
    </w:p>
    <w:p>
      <w:pPr>
        <w:pStyle w:val="Normal(Web)"/>
        <w:divId w:val="12"/>
        <w:rPr>
          <w:vanish w:val="0"/>
        </w:rPr>
      </w:pPr>
      <w:r>
        <w:t xml:space="preserve">Căn cứ Nghị định số 75/2006/NĐ-CP ngày 02 tháng 8 năm 2006 của Chính phủ Quy định chi tiết và hướng dẫn thi hành một số điều của Luật Giáo dục;</w:t>
      </w:r>
    </w:p>
    <w:p>
      <w:pPr>
        <w:pStyle w:val="Normal(Web)"/>
        <w:divId w:val="13"/>
        <w:rPr>
          <w:vanish w:val="0"/>
        </w:rPr>
      </w:pPr>
      <w:r>
        <w:t xml:space="preserve">Xét đề nghị của Bộ trưởng Bộ Giáo dục và Đào tạo,</w:t>
      </w:r>
    </w:p>
    <w:p>
      <w:pPr>
        <w:pStyle w:val="Normal(Web)"/>
        <w:divId w:val="14"/>
        <w:jc w:val="center"/>
        <w:rPr>
          <w:vanish w:val="0"/>
        </w:rPr>
      </w:pPr>
      <w:r>
        <w:rPr>
          <w:b/>
        </w:rPr>
        <w:t xml:space="preserve">QUYẾT ĐỊNH:</w:t>
      </w:r>
    </w:p>
    <w:p>
      <w:pPr>
        <w:pStyle w:val="Normal(Web)"/>
        <w:divId w:val="15"/>
        <w:rPr>
          <w:vanish w:val="0"/>
        </w:rPr>
      </w:pPr>
      <w:r>
        <w:rPr>
          <w:b/>
        </w:rPr>
        <w:t xml:space="preserve">Điều 1. </w:t>
      </w:r>
      <w:r>
        <w:t xml:space="preserve">Ban hành Quy chế tổ chức và hoạt động của trường đại học tư thục.</w:t>
      </w:r>
    </w:p>
    <w:p>
      <w:pPr>
        <w:pStyle w:val="Normal(Web)"/>
        <w:divId w:val="16"/>
        <w:rPr>
          <w:vanish w:val="0"/>
        </w:rPr>
      </w:pPr>
      <w:r>
        <w:rPr>
          <w:b/>
        </w:rPr>
        <w:t xml:space="preserve">Điều 2.</w:t>
      </w:r>
      <w:r>
        <w:t xml:space="preserve"> Quyết định này có hiệu lực thi hành sau 45 ngày, kể từ ngày ký ban hành.</w:t>
      </w:r>
    </w:p>
    <w:p>
      <w:pPr>
        <w:pStyle w:val="Normal(Web)"/>
        <w:divId w:val="17"/>
        <w:rPr>
          <w:vanish w:val="0"/>
        </w:rPr>
      </w:pPr>
      <w:r>
        <w:t xml:space="preserve">Quy định tại Quy chế này thay thế những quy định tại Quy chế tổ chức và hoạt động của trường đại học tư thục ban hành kèm theo Quyết định số 14/2005/QĐ-TTg ngày 17 tháng 01 năm 2005 của Thủ tướng Chính phủ.</w:t>
      </w:r>
    </w:p>
    <w:p>
      <w:pPr>
        <w:pStyle w:val="Normal(Web)"/>
        <w:divId w:val="18"/>
        <w:rPr>
          <w:vanish w:val="0"/>
        </w:rPr>
      </w:pPr>
      <w:r>
        <w:t xml:space="preserve">Các quy định trước đây trái với các quy định tại Quy chế này đều bãi bỏ.</w:t>
      </w:r>
    </w:p>
    <w:p>
      <w:pPr>
        <w:pStyle w:val="Normal(Web)"/>
        <w:divId w:val="19"/>
        <w:rPr>
          <w:vanish w:val="0"/>
        </w:rPr>
      </w:pPr>
      <w:r>
        <w:rPr>
          <w:b/>
        </w:rPr>
        <w:t xml:space="preserve">Điều 3.</w:t>
      </w:r>
      <w:r>
        <w:t xml:space="preserve"> Các Bộ trưởng, Thủ trưởng cơ quan ngang Bộ, Thủ trưởng cơ quan thuộc Chính phủ, Chủ tịch Ủy ban nhân dân tỉnh, thành phố trực thuộc Trung ương và các trường đại học tư thục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Nhân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sChild>
    </w:div>
    <w:div w:id="2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2022-06-20T23:32:45Z</dcterms:created>
  <dcterms:modified xsi:type="dcterms:W3CDTF">2022-06-20T23:32:45Z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2022-06-20T23:32:45Z</dcterms:created>
  <dcterms:modified xsi:type="dcterms:W3CDTF">2022-06-20T23:32:45Z</dcterms:modified>
</cp:coreProperties>
</file>