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17" w:rsidRPr="00A44F32" w:rsidRDefault="00454C17" w:rsidP="00454C17">
      <w:pPr>
        <w:spacing w:line="360" w:lineRule="auto"/>
        <w:jc w:val="both"/>
        <w:rPr>
          <w:rFonts w:ascii="Times New Roman" w:hAnsi="Times New Roman"/>
          <w:b/>
          <w:bCs/>
          <w:sz w:val="26"/>
          <w:szCs w:val="26"/>
        </w:rPr>
      </w:pPr>
      <w:bookmarkStart w:id="0" w:name="_GoBack"/>
      <w:bookmarkEnd w:id="0"/>
    </w:p>
    <w:tbl>
      <w:tblPr>
        <w:tblW w:w="10317" w:type="dxa"/>
        <w:tblBorders>
          <w:top w:val="nil"/>
          <w:bottom w:val="nil"/>
          <w:insideH w:val="nil"/>
          <w:insideV w:val="nil"/>
        </w:tblBorders>
        <w:tblCellMar>
          <w:left w:w="0" w:type="dxa"/>
          <w:right w:w="0" w:type="dxa"/>
        </w:tblCellMar>
        <w:tblLook w:val="04A0" w:firstRow="1" w:lastRow="0" w:firstColumn="1" w:lastColumn="0" w:noHBand="0" w:noVBand="1"/>
      </w:tblPr>
      <w:tblGrid>
        <w:gridCol w:w="3847"/>
        <w:gridCol w:w="6470"/>
      </w:tblGrid>
      <w:tr w:rsidR="00454C17" w:rsidRPr="00A44F32" w:rsidTr="00FA2439">
        <w:trPr>
          <w:trHeight w:val="1294"/>
        </w:trPr>
        <w:tc>
          <w:tcPr>
            <w:tcW w:w="3847" w:type="dxa"/>
            <w:tcBorders>
              <w:top w:val="nil"/>
              <w:left w:val="nil"/>
              <w:bottom w:val="nil"/>
              <w:right w:val="nil"/>
              <w:tl2br w:val="nil"/>
              <w:tr2bl w:val="nil"/>
            </w:tcBorders>
            <w:shd w:val="clear" w:color="auto" w:fill="auto"/>
            <w:tcMar>
              <w:top w:w="0" w:type="dxa"/>
              <w:left w:w="108" w:type="dxa"/>
              <w:bottom w:w="0" w:type="dxa"/>
              <w:right w:w="108" w:type="dxa"/>
            </w:tcMar>
          </w:tcPr>
          <w:p w:rsidR="00454C17" w:rsidRPr="00A44F32" w:rsidRDefault="00454C17" w:rsidP="00FA2439">
            <w:pPr>
              <w:spacing w:before="120" w:after="0" w:line="360" w:lineRule="auto"/>
              <w:rPr>
                <w:rFonts w:ascii="Times New Roman" w:hAnsi="Times New Roman"/>
                <w:sz w:val="26"/>
                <w:szCs w:val="26"/>
              </w:rPr>
            </w:pPr>
            <w:r>
              <w:rPr>
                <w:rFonts w:ascii="Times New Roman" w:hAnsi="Times New Roman"/>
                <w:b/>
                <w:bCs/>
                <w:sz w:val="26"/>
                <w:szCs w:val="26"/>
              </w:rPr>
              <w:t xml:space="preserve">CHÍNH </w:t>
            </w:r>
            <w:r w:rsidRPr="00A44F32">
              <w:rPr>
                <w:rFonts w:ascii="Times New Roman" w:hAnsi="Times New Roman"/>
                <w:b/>
                <w:bCs/>
                <w:sz w:val="26"/>
                <w:szCs w:val="26"/>
              </w:rPr>
              <w:t>PHỦ</w:t>
            </w:r>
            <w:r w:rsidRPr="00A44F32">
              <w:rPr>
                <w:rFonts w:ascii="Times New Roman" w:hAnsi="Times New Roman"/>
                <w:b/>
                <w:bCs/>
                <w:sz w:val="26"/>
                <w:szCs w:val="26"/>
              </w:rPr>
              <w:br/>
            </w:r>
            <w:r>
              <w:rPr>
                <w:rFonts w:ascii="Times New Roman" w:hAnsi="Times New Roman"/>
                <w:b/>
                <w:bCs/>
                <w:sz w:val="26"/>
                <w:szCs w:val="26"/>
              </w:rPr>
              <w:t xml:space="preserve">       </w:t>
            </w:r>
            <w:r w:rsidRPr="00A44F32">
              <w:rPr>
                <w:rFonts w:ascii="Times New Roman" w:hAnsi="Times New Roman"/>
                <w:b/>
                <w:bCs/>
                <w:sz w:val="26"/>
                <w:szCs w:val="26"/>
              </w:rPr>
              <w:t>--------</w:t>
            </w:r>
          </w:p>
        </w:tc>
        <w:tc>
          <w:tcPr>
            <w:tcW w:w="6470" w:type="dxa"/>
            <w:tcBorders>
              <w:top w:val="nil"/>
              <w:left w:val="nil"/>
              <w:bottom w:val="nil"/>
              <w:right w:val="nil"/>
              <w:tl2br w:val="nil"/>
              <w:tr2bl w:val="nil"/>
            </w:tcBorders>
            <w:shd w:val="clear" w:color="auto" w:fill="auto"/>
            <w:tcMar>
              <w:top w:w="0" w:type="dxa"/>
              <w:left w:w="108" w:type="dxa"/>
              <w:bottom w:w="0" w:type="dxa"/>
              <w:right w:w="108" w:type="dxa"/>
            </w:tcMar>
          </w:tcPr>
          <w:p w:rsidR="00454C17" w:rsidRPr="00A44F32" w:rsidRDefault="00454C17" w:rsidP="00FA2439">
            <w:pPr>
              <w:spacing w:before="120" w:after="0" w:line="360" w:lineRule="auto"/>
              <w:jc w:val="center"/>
              <w:rPr>
                <w:rFonts w:ascii="Times New Roman" w:hAnsi="Times New Roman"/>
                <w:sz w:val="26"/>
                <w:szCs w:val="26"/>
              </w:rPr>
            </w:pPr>
            <w:r w:rsidRPr="00A44F32">
              <w:rPr>
                <w:rFonts w:ascii="Times New Roman" w:hAnsi="Times New Roman"/>
                <w:b/>
                <w:bCs/>
                <w:sz w:val="26"/>
                <w:szCs w:val="26"/>
              </w:rPr>
              <w:t>CỘNG HÒA XÃ HỘI CHỦ NGHĨA VIỆT NAM</w:t>
            </w:r>
            <w:r w:rsidRPr="00A44F32">
              <w:rPr>
                <w:rFonts w:ascii="Times New Roman" w:hAnsi="Times New Roman"/>
                <w:b/>
                <w:bCs/>
                <w:sz w:val="26"/>
                <w:szCs w:val="26"/>
              </w:rPr>
              <w:br/>
              <w:t>Độc lập - Tự do - Hạnh phúc</w:t>
            </w:r>
            <w:r w:rsidRPr="00A44F32">
              <w:rPr>
                <w:rFonts w:ascii="Times New Roman" w:hAnsi="Times New Roman"/>
                <w:b/>
                <w:bCs/>
                <w:sz w:val="26"/>
                <w:szCs w:val="26"/>
              </w:rPr>
              <w:br/>
              <w:t>----------------</w:t>
            </w:r>
          </w:p>
        </w:tc>
      </w:tr>
      <w:tr w:rsidR="00454C17" w:rsidRPr="00A44F32" w:rsidTr="00FA2439">
        <w:tblPrEx>
          <w:tblBorders>
            <w:top w:val="none" w:sz="0" w:space="0" w:color="auto"/>
            <w:bottom w:val="none" w:sz="0" w:space="0" w:color="auto"/>
            <w:insideH w:val="none" w:sz="0" w:space="0" w:color="auto"/>
            <w:insideV w:val="none" w:sz="0" w:space="0" w:color="auto"/>
          </w:tblBorders>
        </w:tblPrEx>
        <w:trPr>
          <w:trHeight w:val="384"/>
        </w:trPr>
        <w:tc>
          <w:tcPr>
            <w:tcW w:w="3847" w:type="dxa"/>
            <w:tcBorders>
              <w:top w:val="nil"/>
              <w:left w:val="nil"/>
              <w:bottom w:val="nil"/>
              <w:right w:val="nil"/>
              <w:tl2br w:val="nil"/>
              <w:tr2bl w:val="nil"/>
            </w:tcBorders>
            <w:shd w:val="clear" w:color="auto" w:fill="auto"/>
            <w:tcMar>
              <w:top w:w="0" w:type="dxa"/>
              <w:left w:w="108" w:type="dxa"/>
              <w:bottom w:w="0" w:type="dxa"/>
              <w:right w:w="108" w:type="dxa"/>
            </w:tcMar>
          </w:tcPr>
          <w:p w:rsidR="00454C17" w:rsidRPr="00A44F32" w:rsidRDefault="00454C17" w:rsidP="00FA2439">
            <w:pPr>
              <w:spacing w:before="120" w:after="0" w:line="360" w:lineRule="auto"/>
              <w:jc w:val="both"/>
              <w:rPr>
                <w:rFonts w:ascii="Times New Roman" w:hAnsi="Times New Roman"/>
                <w:sz w:val="26"/>
                <w:szCs w:val="26"/>
              </w:rPr>
            </w:pPr>
            <w:r w:rsidRPr="00A44F32">
              <w:rPr>
                <w:rFonts w:ascii="Times New Roman" w:hAnsi="Times New Roman"/>
                <w:sz w:val="26"/>
                <w:szCs w:val="26"/>
              </w:rPr>
              <w:t>Số: 70/2014/NĐ-CP</w:t>
            </w:r>
          </w:p>
        </w:tc>
        <w:tc>
          <w:tcPr>
            <w:tcW w:w="6470" w:type="dxa"/>
            <w:tcBorders>
              <w:top w:val="nil"/>
              <w:left w:val="nil"/>
              <w:bottom w:val="nil"/>
              <w:right w:val="nil"/>
              <w:tl2br w:val="nil"/>
              <w:tr2bl w:val="nil"/>
            </w:tcBorders>
            <w:shd w:val="clear" w:color="auto" w:fill="auto"/>
            <w:tcMar>
              <w:top w:w="0" w:type="dxa"/>
              <w:left w:w="108" w:type="dxa"/>
              <w:bottom w:w="0" w:type="dxa"/>
              <w:right w:w="108" w:type="dxa"/>
            </w:tcMar>
          </w:tcPr>
          <w:p w:rsidR="00454C17" w:rsidRPr="00A44F32" w:rsidRDefault="00454C17" w:rsidP="00FA2439">
            <w:pPr>
              <w:spacing w:before="120" w:after="0" w:line="360" w:lineRule="auto"/>
              <w:jc w:val="right"/>
              <w:rPr>
                <w:rFonts w:ascii="Times New Roman" w:hAnsi="Times New Roman"/>
                <w:sz w:val="26"/>
                <w:szCs w:val="26"/>
              </w:rPr>
            </w:pPr>
            <w:r w:rsidRPr="00A44F32">
              <w:rPr>
                <w:rFonts w:ascii="Times New Roman" w:hAnsi="Times New Roman"/>
                <w:i/>
                <w:iCs/>
                <w:sz w:val="26"/>
                <w:szCs w:val="26"/>
              </w:rPr>
              <w:t>Hà Nội, ngày 17 tháng 07 năm 2014</w:t>
            </w:r>
          </w:p>
        </w:tc>
      </w:tr>
    </w:tbl>
    <w:p w:rsidR="00454C17" w:rsidRPr="00A44F32" w:rsidRDefault="00454C17" w:rsidP="00454C17">
      <w:pPr>
        <w:spacing w:before="120" w:after="100" w:afterAutospacing="1" w:line="360" w:lineRule="auto"/>
        <w:jc w:val="both"/>
        <w:rPr>
          <w:rFonts w:ascii="Times New Roman" w:hAnsi="Times New Roman"/>
          <w:sz w:val="26"/>
          <w:szCs w:val="26"/>
        </w:rPr>
      </w:pPr>
      <w:r w:rsidRPr="00A44F32">
        <w:rPr>
          <w:rFonts w:ascii="Times New Roman" w:hAnsi="Times New Roman"/>
          <w:b/>
          <w:bCs/>
          <w:sz w:val="26"/>
          <w:szCs w:val="26"/>
        </w:rPr>
        <w:t> </w:t>
      </w:r>
    </w:p>
    <w:p w:rsidR="00454C17" w:rsidRPr="00A44F32" w:rsidRDefault="00454C17" w:rsidP="00454C17">
      <w:pPr>
        <w:spacing w:before="120" w:after="280" w:afterAutospacing="1" w:line="360" w:lineRule="auto"/>
        <w:jc w:val="center"/>
        <w:rPr>
          <w:rFonts w:ascii="Times New Roman" w:hAnsi="Times New Roman"/>
          <w:sz w:val="26"/>
          <w:szCs w:val="26"/>
        </w:rPr>
      </w:pPr>
      <w:bookmarkStart w:id="1" w:name="loai_1"/>
      <w:r w:rsidRPr="00A44F32">
        <w:rPr>
          <w:rFonts w:ascii="Times New Roman" w:hAnsi="Times New Roman"/>
          <w:b/>
          <w:bCs/>
          <w:sz w:val="26"/>
          <w:szCs w:val="26"/>
        </w:rPr>
        <w:t>NGHỊ ĐỊNH</w:t>
      </w:r>
      <w:bookmarkEnd w:id="1"/>
    </w:p>
    <w:p w:rsidR="00454C17" w:rsidRPr="00A44F32" w:rsidRDefault="00454C17" w:rsidP="00454C17">
      <w:pPr>
        <w:spacing w:before="120" w:after="280" w:afterAutospacing="1" w:line="360" w:lineRule="auto"/>
        <w:jc w:val="center"/>
        <w:rPr>
          <w:rFonts w:ascii="Times New Roman" w:hAnsi="Times New Roman"/>
          <w:sz w:val="26"/>
          <w:szCs w:val="26"/>
        </w:rPr>
      </w:pPr>
      <w:bookmarkStart w:id="2" w:name="loai_1_name"/>
      <w:r w:rsidRPr="00A44F32">
        <w:rPr>
          <w:rFonts w:ascii="Times New Roman" w:hAnsi="Times New Roman"/>
          <w:sz w:val="26"/>
          <w:szCs w:val="26"/>
        </w:rPr>
        <w:t>QUY ĐỊNH CHI TIẾT THI HÀNH MỘT SỐ ĐIỀU CỦA PHÁP LỆNH NGOẠI HỐI VÀ PHÁP LỆNH SỬA ĐỔI, BỔ SUNG MỘT SỐ ĐIỀU CỦA PHÁP LỆNH NGOẠI HỐI</w:t>
      </w:r>
      <w:bookmarkEnd w:id="2"/>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i/>
          <w:iCs/>
          <w:sz w:val="26"/>
          <w:szCs w:val="26"/>
        </w:rPr>
        <w:t xml:space="preserve">Căn cứ Luật Tổ chức </w:t>
      </w:r>
      <w:r w:rsidRPr="00A44F32">
        <w:rPr>
          <w:rFonts w:ascii="Times New Roman" w:hAnsi="Times New Roman"/>
          <w:i/>
          <w:iCs/>
          <w:sz w:val="26"/>
          <w:szCs w:val="26"/>
          <w:shd w:val="solid" w:color="FFFFFF" w:fill="auto"/>
        </w:rPr>
        <w:t>Chính phủ</w:t>
      </w:r>
      <w:r w:rsidRPr="00A44F32">
        <w:rPr>
          <w:rFonts w:ascii="Times New Roman" w:hAnsi="Times New Roman"/>
          <w:i/>
          <w:iCs/>
          <w:sz w:val="26"/>
          <w:szCs w:val="26"/>
        </w:rPr>
        <w:t xml:space="preserve"> ngày 25 tháng 12 năm 2001;</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i/>
          <w:iCs/>
          <w:sz w:val="26"/>
          <w:szCs w:val="26"/>
        </w:rPr>
        <w:t xml:space="preserve">Căn cứ Luật Ngân hàng Nhà nước Việt Nam ngày 16 </w:t>
      </w:r>
      <w:r w:rsidRPr="00A44F32">
        <w:rPr>
          <w:rFonts w:ascii="Times New Roman" w:hAnsi="Times New Roman"/>
          <w:i/>
          <w:iCs/>
          <w:sz w:val="26"/>
          <w:szCs w:val="26"/>
          <w:shd w:val="solid" w:color="FFFFFF" w:fill="auto"/>
        </w:rPr>
        <w:t>tháng</w:t>
      </w:r>
      <w:r w:rsidRPr="00A44F32">
        <w:rPr>
          <w:rFonts w:ascii="Times New Roman" w:hAnsi="Times New Roman"/>
          <w:i/>
          <w:iCs/>
          <w:sz w:val="26"/>
          <w:szCs w:val="26"/>
        </w:rPr>
        <w:t xml:space="preserve"> 6 năm 2010;</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i/>
          <w:iCs/>
          <w:sz w:val="26"/>
          <w:szCs w:val="26"/>
        </w:rPr>
        <w:t xml:space="preserve">Căn cứ Luật Các tổ chức tín dụng ngày 16 </w:t>
      </w:r>
      <w:r w:rsidRPr="00A44F32">
        <w:rPr>
          <w:rFonts w:ascii="Times New Roman" w:hAnsi="Times New Roman"/>
          <w:i/>
          <w:iCs/>
          <w:sz w:val="26"/>
          <w:szCs w:val="26"/>
          <w:shd w:val="solid" w:color="FFFFFF" w:fill="auto"/>
        </w:rPr>
        <w:t>tháng</w:t>
      </w:r>
      <w:r w:rsidRPr="00A44F32">
        <w:rPr>
          <w:rFonts w:ascii="Times New Roman" w:hAnsi="Times New Roman"/>
          <w:i/>
          <w:iCs/>
          <w:sz w:val="26"/>
          <w:szCs w:val="26"/>
        </w:rPr>
        <w:t xml:space="preserve"> 6 năm 2010;</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i/>
          <w:iCs/>
          <w:sz w:val="26"/>
          <w:szCs w:val="26"/>
        </w:rPr>
        <w:t>Căn cứ Pháp Lệnh Ngoại hối ngày 13 tháng 12 năm 2005 và Pháp lệnh sửa đổi, bổ sung một số điều của Pháp lệnh Ngoại hối ngày 18 tháng 3 năm 2013;</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i/>
          <w:iCs/>
          <w:sz w:val="26"/>
          <w:szCs w:val="26"/>
        </w:rPr>
        <w:t>Theo đề nghị của Thống đốc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i/>
          <w:iCs/>
          <w:sz w:val="26"/>
          <w:szCs w:val="26"/>
          <w:shd w:val="solid" w:color="FFFFFF" w:fill="auto"/>
        </w:rPr>
        <w:t>Chính phủ</w:t>
      </w:r>
      <w:r w:rsidRPr="00A44F32">
        <w:rPr>
          <w:rFonts w:ascii="Times New Roman" w:hAnsi="Times New Roman"/>
          <w:i/>
          <w:iCs/>
          <w:sz w:val="26"/>
          <w:szCs w:val="26"/>
        </w:rPr>
        <w:t xml:space="preserve"> ban hành Nghị định quy định chi tiết thi hành một số điều của Pháp lệnh Ngoại hối và Pháp lệnh sửa đổi, bổ sung một số điều của Pháp lệnh Ngoại hối.</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3" w:name="chuong_1"/>
      <w:r w:rsidRPr="00A44F32">
        <w:rPr>
          <w:rFonts w:ascii="Times New Roman" w:hAnsi="Times New Roman"/>
          <w:b/>
          <w:bCs/>
          <w:sz w:val="26"/>
          <w:szCs w:val="26"/>
        </w:rPr>
        <w:t>Chương I</w:t>
      </w:r>
      <w:bookmarkEnd w:id="3"/>
    </w:p>
    <w:p w:rsidR="00454C17" w:rsidRPr="00A44F32" w:rsidRDefault="00454C17" w:rsidP="00454C17">
      <w:pPr>
        <w:spacing w:before="120" w:after="280" w:afterAutospacing="1" w:line="360" w:lineRule="auto"/>
        <w:jc w:val="both"/>
        <w:rPr>
          <w:rFonts w:ascii="Times New Roman" w:hAnsi="Times New Roman"/>
          <w:sz w:val="26"/>
          <w:szCs w:val="26"/>
        </w:rPr>
      </w:pPr>
      <w:bookmarkStart w:id="4" w:name="chuong_1_name"/>
      <w:r w:rsidRPr="00A44F32">
        <w:rPr>
          <w:rFonts w:ascii="Times New Roman" w:hAnsi="Times New Roman"/>
          <w:b/>
          <w:bCs/>
          <w:sz w:val="26"/>
          <w:szCs w:val="26"/>
        </w:rPr>
        <w:t>NHỮNG QUY ĐỊNH CHUNG</w:t>
      </w:r>
      <w:bookmarkEnd w:id="4"/>
    </w:p>
    <w:p w:rsidR="00454C17" w:rsidRPr="00A44F32" w:rsidRDefault="00454C17" w:rsidP="00454C17">
      <w:pPr>
        <w:spacing w:before="120" w:after="280" w:afterAutospacing="1" w:line="360" w:lineRule="auto"/>
        <w:jc w:val="both"/>
        <w:rPr>
          <w:rFonts w:ascii="Times New Roman" w:hAnsi="Times New Roman"/>
          <w:sz w:val="26"/>
          <w:szCs w:val="26"/>
        </w:rPr>
      </w:pPr>
      <w:bookmarkStart w:id="5" w:name="dieu_1"/>
      <w:r w:rsidRPr="00A44F32">
        <w:rPr>
          <w:rFonts w:ascii="Times New Roman" w:hAnsi="Times New Roman"/>
          <w:b/>
          <w:bCs/>
          <w:sz w:val="26"/>
          <w:szCs w:val="26"/>
        </w:rPr>
        <w:t>Điều 1. Phạm vi điều chỉnh</w:t>
      </w:r>
      <w:bookmarkEnd w:id="5"/>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lastRenderedPageBreak/>
        <w:t>1. Nghị định này quy định chi tiết thi hành một số điều của Pháp lệnh Ngoại hối và Pháp lệnh sửa đổi, bổ sung một số điều của Pháp lệnh Ngoại hối về các hoạt động ngoại hối của người cư trú, người không cư trú tại nước Cộng hòa xã hội chủ nghĩa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Các nội dung liên quan đến quản lý dự trữ ngoại hối nhà nước, quản lý hoạt động kinh doanh vàng, quản lý vay, trả nợ nước ngoài không được Chính phủ bảo lãnh, vay, trả nợ nước ngoài của Chính phủ, vay có bảo lãnh của Chính phủ, xử lý vi phạm về ngoại hối và hoạt động ngoại hối được thực hiện theo quy định khác của Chính phủ.</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6" w:name="dieu_2"/>
      <w:r w:rsidRPr="00A44F32">
        <w:rPr>
          <w:rFonts w:ascii="Times New Roman" w:hAnsi="Times New Roman"/>
          <w:b/>
          <w:bCs/>
          <w:sz w:val="26"/>
          <w:szCs w:val="26"/>
        </w:rPr>
        <w:t>Điều 2. Đối tượng áp dụng</w:t>
      </w:r>
      <w:bookmarkEnd w:id="6"/>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Tổ chức, cá nhân là người cư trú, người không cư trú có hoạt động ngoại hối tại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Tổ chức, cá nhân là người cư trú có liên quan trong việc quản lý, thanh tra, kiểm tra, giám sát và xử lý vi phạm về ngoại hối và hoạt động ngoại hối.</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7" w:name="dieu_3"/>
      <w:r w:rsidRPr="00A44F32">
        <w:rPr>
          <w:rFonts w:ascii="Times New Roman" w:hAnsi="Times New Roman"/>
          <w:b/>
          <w:bCs/>
          <w:sz w:val="26"/>
          <w:szCs w:val="26"/>
        </w:rPr>
        <w:t>Điều 3. Áp dụng pháp luật về ngoại hối, điều ước quốc tế, pháp luật nước ngoài, tập quán quốc tế</w:t>
      </w:r>
      <w:bookmarkEnd w:id="7"/>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Hoạt động ngoại hối phải tuân theo quy định tại Nghị định này và các quy định khác của pháp luật có liên quan.</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Trường hợp điều ước quốc tế mà nước Cộng hòa xã hội chủ nghĩa Việt Nam là thành viên có quy định khác với quy định của Nghị định này thì áp dụng quy định của điều ước quốc tế đó.</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3. Trường hợp hoạt động ngoại hối mà pháp luật Việt Nam chưa có quy định thì các bên có thể </w:t>
      </w:r>
      <w:r w:rsidRPr="00A44F32">
        <w:rPr>
          <w:rFonts w:ascii="Times New Roman" w:hAnsi="Times New Roman"/>
          <w:sz w:val="26"/>
          <w:szCs w:val="26"/>
          <w:shd w:val="solid" w:color="FFFFFF" w:fill="auto"/>
        </w:rPr>
        <w:t>thỏa thuận</w:t>
      </w:r>
      <w:r w:rsidRPr="00A44F32">
        <w:rPr>
          <w:rFonts w:ascii="Times New Roman" w:hAnsi="Times New Roman"/>
          <w:sz w:val="26"/>
          <w:szCs w:val="26"/>
        </w:rPr>
        <w:t xml:space="preserve"> áp dụng pháp luật nước ngoài, tập quán quốc tế nếu việc áp dụng pháp luật nước ngoài, tập quán quốc tế đó không trái với những nguyên tắc cơ bản của pháp luật Việt Nam.</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8" w:name="chuong_2"/>
      <w:r w:rsidRPr="00A44F32">
        <w:rPr>
          <w:rFonts w:ascii="Times New Roman" w:hAnsi="Times New Roman"/>
          <w:b/>
          <w:bCs/>
          <w:sz w:val="26"/>
          <w:szCs w:val="26"/>
        </w:rPr>
        <w:lastRenderedPageBreak/>
        <w:t>Chương II</w:t>
      </w:r>
      <w:bookmarkEnd w:id="8"/>
    </w:p>
    <w:p w:rsidR="00454C17" w:rsidRPr="00A44F32" w:rsidRDefault="00454C17" w:rsidP="00454C17">
      <w:pPr>
        <w:spacing w:before="120" w:after="280" w:afterAutospacing="1" w:line="360" w:lineRule="auto"/>
        <w:jc w:val="center"/>
        <w:rPr>
          <w:rFonts w:ascii="Times New Roman" w:hAnsi="Times New Roman"/>
          <w:sz w:val="26"/>
          <w:szCs w:val="26"/>
        </w:rPr>
      </w:pPr>
      <w:bookmarkStart w:id="9" w:name="chuong_2_name"/>
      <w:r w:rsidRPr="00A44F32">
        <w:rPr>
          <w:rFonts w:ascii="Times New Roman" w:hAnsi="Times New Roman"/>
          <w:b/>
          <w:bCs/>
          <w:sz w:val="26"/>
          <w:szCs w:val="26"/>
        </w:rPr>
        <w:t>NHỮNG QUY ĐỊNH CỤ THỂ</w:t>
      </w:r>
      <w:bookmarkEnd w:id="9"/>
    </w:p>
    <w:p w:rsidR="00454C17" w:rsidRPr="00A44F32" w:rsidRDefault="00454C17" w:rsidP="00454C17">
      <w:pPr>
        <w:spacing w:before="120" w:after="280" w:afterAutospacing="1" w:line="360" w:lineRule="auto"/>
        <w:jc w:val="both"/>
        <w:rPr>
          <w:rFonts w:ascii="Times New Roman" w:hAnsi="Times New Roman"/>
          <w:sz w:val="26"/>
          <w:szCs w:val="26"/>
        </w:rPr>
      </w:pPr>
      <w:bookmarkStart w:id="10" w:name="dieu_4"/>
      <w:r w:rsidRPr="00A44F32">
        <w:rPr>
          <w:rFonts w:ascii="Times New Roman" w:hAnsi="Times New Roman"/>
          <w:b/>
          <w:bCs/>
          <w:sz w:val="26"/>
          <w:szCs w:val="26"/>
        </w:rPr>
        <w:t xml:space="preserve">Điều 4. Tự do </w:t>
      </w:r>
      <w:r w:rsidRPr="00A44F32">
        <w:rPr>
          <w:rFonts w:ascii="Times New Roman" w:hAnsi="Times New Roman"/>
          <w:b/>
          <w:bCs/>
          <w:sz w:val="26"/>
          <w:szCs w:val="26"/>
          <w:shd w:val="solid" w:color="FFFFFF" w:fill="auto"/>
        </w:rPr>
        <w:t>hóa</w:t>
      </w:r>
      <w:r w:rsidRPr="00A44F32">
        <w:rPr>
          <w:rFonts w:ascii="Times New Roman" w:hAnsi="Times New Roman"/>
          <w:b/>
          <w:bCs/>
          <w:sz w:val="26"/>
          <w:szCs w:val="26"/>
        </w:rPr>
        <w:t xml:space="preserve"> đối với giao dịch </w:t>
      </w:r>
      <w:r w:rsidRPr="00A44F32">
        <w:rPr>
          <w:rFonts w:ascii="Times New Roman" w:hAnsi="Times New Roman"/>
          <w:b/>
          <w:bCs/>
          <w:sz w:val="26"/>
          <w:szCs w:val="26"/>
          <w:shd w:val="solid" w:color="FFFFFF" w:fill="auto"/>
        </w:rPr>
        <w:t>vãng lai</w:t>
      </w:r>
      <w:bookmarkEnd w:id="10"/>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Trên lãnh thổ Việt Nam, tất cả các giao dịch thanh toán và chuyển tiền đối với giao dịch </w:t>
      </w:r>
      <w:r w:rsidRPr="00A44F32">
        <w:rPr>
          <w:rFonts w:ascii="Times New Roman" w:hAnsi="Times New Roman"/>
          <w:sz w:val="26"/>
          <w:szCs w:val="26"/>
          <w:shd w:val="solid" w:color="FFFFFF" w:fill="auto"/>
        </w:rPr>
        <w:t>vãng lai</w:t>
      </w:r>
      <w:r w:rsidRPr="00A44F32">
        <w:rPr>
          <w:rFonts w:ascii="Times New Roman" w:hAnsi="Times New Roman"/>
          <w:sz w:val="26"/>
          <w:szCs w:val="26"/>
        </w:rPr>
        <w:t xml:space="preserve"> của người cư trú và người không cư trú được tự do thực hiện phù hợp với các quy định tại Nghị định này và các quy định pháp luật khác có liên quan theo các nguyên tắc sau:</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1. Người cư trú, người không cư trú được mua, chuyển, mang ngoại tệ ra nước ngoài phục vụ các nhu cầu thanh toán và chuyển tiền đối với giao dịch </w:t>
      </w:r>
      <w:r w:rsidRPr="00A44F32">
        <w:rPr>
          <w:rFonts w:ascii="Times New Roman" w:hAnsi="Times New Roman"/>
          <w:sz w:val="26"/>
          <w:szCs w:val="26"/>
          <w:shd w:val="solid" w:color="FFFFFF" w:fill="auto"/>
        </w:rPr>
        <w:t>vãng lai</w:t>
      </w:r>
      <w:r w:rsidRPr="00A44F32">
        <w:rPr>
          <w:rFonts w:ascii="Times New Roman" w:hAnsi="Times New Roman"/>
          <w:sz w:val="26"/>
          <w:szCs w:val="26"/>
        </w:rPr>
        <w:t>.</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2. Người cư trú, người không cư trú có trách nhiệm xuất trình các chứng từ theo quy định của tổ chức tín dụng khi mua, chuyển, mang ngoại tệ ra nước ngoài phục vụ các giao dịch </w:t>
      </w:r>
      <w:r w:rsidRPr="00A44F32">
        <w:rPr>
          <w:rFonts w:ascii="Times New Roman" w:hAnsi="Times New Roman"/>
          <w:sz w:val="26"/>
          <w:szCs w:val="26"/>
          <w:shd w:val="solid" w:color="FFFFFF" w:fill="auto"/>
        </w:rPr>
        <w:t>vãng lai</w:t>
      </w:r>
      <w:r w:rsidRPr="00A44F32">
        <w:rPr>
          <w:rFonts w:ascii="Times New Roman" w:hAnsi="Times New Roman"/>
          <w:sz w:val="26"/>
          <w:szCs w:val="26"/>
        </w:rPr>
        <w:t xml:space="preserve"> và chịu trách nhiệm trước pháp luật về tính xác thực của các loại giấy tờ, chứng từ đã xuất trình cho tổ chức tín dụng được phép.</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3. Khi mua, chuyển, mang ngoại tệ ra nước ngoài phục vụ các giao dịch </w:t>
      </w:r>
      <w:r w:rsidRPr="00A44F32">
        <w:rPr>
          <w:rFonts w:ascii="Times New Roman" w:hAnsi="Times New Roman"/>
          <w:sz w:val="26"/>
          <w:szCs w:val="26"/>
          <w:shd w:val="solid" w:color="FFFFFF" w:fill="auto"/>
        </w:rPr>
        <w:t>vãng lai</w:t>
      </w:r>
      <w:r w:rsidRPr="00A44F32">
        <w:rPr>
          <w:rFonts w:ascii="Times New Roman" w:hAnsi="Times New Roman"/>
          <w:sz w:val="26"/>
          <w:szCs w:val="26"/>
        </w:rPr>
        <w:t>, người cư trú, người không cư trú không phải xuất trình các chứng từ liên quan đến việc xác nhận hoàn thành nghĩa vụ thuế với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1" w:name="dieu_5"/>
      <w:r w:rsidRPr="00A44F32">
        <w:rPr>
          <w:rFonts w:ascii="Times New Roman" w:hAnsi="Times New Roman"/>
          <w:b/>
          <w:bCs/>
          <w:sz w:val="26"/>
          <w:szCs w:val="26"/>
        </w:rPr>
        <w:t xml:space="preserve">Điều 5. Thanh toán và chuyển tiền liên quan đến xuất khẩu, nhập khẩu hàng </w:t>
      </w:r>
      <w:r w:rsidRPr="00A44F32">
        <w:rPr>
          <w:rFonts w:ascii="Times New Roman" w:hAnsi="Times New Roman"/>
          <w:b/>
          <w:bCs/>
          <w:sz w:val="26"/>
          <w:szCs w:val="26"/>
          <w:shd w:val="solid" w:color="FFFFFF" w:fill="auto"/>
        </w:rPr>
        <w:t>hóa</w:t>
      </w:r>
      <w:r w:rsidRPr="00A44F32">
        <w:rPr>
          <w:rFonts w:ascii="Times New Roman" w:hAnsi="Times New Roman"/>
          <w:b/>
          <w:bCs/>
          <w:sz w:val="26"/>
          <w:szCs w:val="26"/>
        </w:rPr>
        <w:t xml:space="preserve">, dịch vụ và các nguồn thu </w:t>
      </w:r>
      <w:r w:rsidRPr="00A44F32">
        <w:rPr>
          <w:rFonts w:ascii="Times New Roman" w:hAnsi="Times New Roman"/>
          <w:b/>
          <w:bCs/>
          <w:sz w:val="26"/>
          <w:szCs w:val="26"/>
          <w:shd w:val="solid" w:color="FFFFFF" w:fill="auto"/>
        </w:rPr>
        <w:t>vãng lai</w:t>
      </w:r>
      <w:r w:rsidRPr="00A44F32">
        <w:rPr>
          <w:rFonts w:ascii="Times New Roman" w:hAnsi="Times New Roman"/>
          <w:b/>
          <w:bCs/>
          <w:sz w:val="26"/>
          <w:szCs w:val="26"/>
        </w:rPr>
        <w:t xml:space="preserve"> khác</w:t>
      </w:r>
      <w:bookmarkEnd w:id="11"/>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1. Người cư trú có nguồn thu ngoại tệ từ xuất khẩu hàng </w:t>
      </w:r>
      <w:r w:rsidRPr="00A44F32">
        <w:rPr>
          <w:rFonts w:ascii="Times New Roman" w:hAnsi="Times New Roman"/>
          <w:sz w:val="26"/>
          <w:szCs w:val="26"/>
          <w:shd w:val="solid" w:color="FFFFFF" w:fill="auto"/>
        </w:rPr>
        <w:t>hóa</w:t>
      </w:r>
      <w:r w:rsidRPr="00A44F32">
        <w:rPr>
          <w:rFonts w:ascii="Times New Roman" w:hAnsi="Times New Roman"/>
          <w:sz w:val="26"/>
          <w:szCs w:val="26"/>
        </w:rPr>
        <w:t xml:space="preserve">, dịch vụ hoặc từ các nguồn thu vãng lai khác ở nước ngoài phải chuyển vào tài khoản ngoại tệ mở tại </w:t>
      </w:r>
      <w:r w:rsidRPr="00A44F32">
        <w:rPr>
          <w:rFonts w:ascii="Times New Roman" w:hAnsi="Times New Roman"/>
          <w:sz w:val="26"/>
          <w:szCs w:val="26"/>
          <w:shd w:val="solid" w:color="FFFFFF" w:fill="auto"/>
        </w:rPr>
        <w:t>tổ chức</w:t>
      </w:r>
      <w:r w:rsidRPr="00A44F32">
        <w:rPr>
          <w:rFonts w:ascii="Times New Roman" w:hAnsi="Times New Roman"/>
          <w:sz w:val="26"/>
          <w:szCs w:val="26"/>
        </w:rPr>
        <w:t xml:space="preserve"> tín dụng được phép tại Việt Nam phù hợp với thời hạn thanh toán của hợp đồng hoặc các chứng từ thanh toán, trừ một số trường hợp được Ngân hàng Nhà nước Việt Nam xem xét cho phép giữ lại một phần hoặc toàn bộ nguồn thu ngoại tệ ở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lastRenderedPageBreak/>
        <w:t xml:space="preserve">2. Mọi giao dịch thanh toán và chuyển tiền liên quan đến xuất khẩu, nhập khẩu hàng </w:t>
      </w:r>
      <w:r w:rsidRPr="00A44F32">
        <w:rPr>
          <w:rFonts w:ascii="Times New Roman" w:hAnsi="Times New Roman"/>
          <w:sz w:val="26"/>
          <w:szCs w:val="26"/>
          <w:shd w:val="solid" w:color="FFFFFF" w:fill="auto"/>
        </w:rPr>
        <w:t>hóa</w:t>
      </w:r>
      <w:r w:rsidRPr="00A44F32">
        <w:rPr>
          <w:rFonts w:ascii="Times New Roman" w:hAnsi="Times New Roman"/>
          <w:sz w:val="26"/>
          <w:szCs w:val="26"/>
        </w:rPr>
        <w:t>, dịch vụ phải thực hiện bằng hình thức chuyển khoản thông qua tổ chức tín dụng được phép.</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2" w:name="dieu_6"/>
      <w:r w:rsidRPr="00A44F32">
        <w:rPr>
          <w:rFonts w:ascii="Times New Roman" w:hAnsi="Times New Roman"/>
          <w:b/>
          <w:bCs/>
          <w:sz w:val="26"/>
          <w:szCs w:val="26"/>
        </w:rPr>
        <w:t>Điều 6. Chuyển tiền một chiều từ nước ngoài vào Việt Nam</w:t>
      </w:r>
      <w:bookmarkEnd w:id="12"/>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1. Người cư trú là tổ chức có ngoại tệ thu được từ các khoản chuyển tiền một chiều phải chuyển vào tài khoản ngoại tệ tại tổ chức tín dụng được phép hoặc bán cho </w:t>
      </w:r>
      <w:r w:rsidRPr="00A44F32">
        <w:rPr>
          <w:rFonts w:ascii="Times New Roman" w:hAnsi="Times New Roman"/>
          <w:sz w:val="26"/>
          <w:szCs w:val="26"/>
          <w:shd w:val="solid" w:color="FFFFFF" w:fill="auto"/>
        </w:rPr>
        <w:t>tổ chức</w:t>
      </w:r>
      <w:r w:rsidRPr="00A44F32">
        <w:rPr>
          <w:rFonts w:ascii="Times New Roman" w:hAnsi="Times New Roman"/>
          <w:sz w:val="26"/>
          <w:szCs w:val="26"/>
        </w:rPr>
        <w:t xml:space="preserve"> tín dụng được phép.</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Người cư trú là cá nhân có ngoại tệ thu được từ các khoản chuyển tiền một chiều được gửi vào tài khoản ngoại tệ hoặc rút tiền mặt để sử dụng cho các mục đích quy định tại Điều 13 Nghị định này.</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3" w:name="dieu_7"/>
      <w:r w:rsidRPr="00A44F32">
        <w:rPr>
          <w:rFonts w:ascii="Times New Roman" w:hAnsi="Times New Roman"/>
          <w:b/>
          <w:bCs/>
          <w:sz w:val="26"/>
          <w:szCs w:val="26"/>
        </w:rPr>
        <w:t>Điều 7. Chuyển tiền một chiều từ Việt Nam ra nước ngoài</w:t>
      </w:r>
      <w:bookmarkEnd w:id="13"/>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Người cư trú là tổ chức được thực hiện chuyển tiền một chiều ra nước ngoài để phục vụ mục đích tài trợ, viện trợ hoặc các mục đích khác theo quy định của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Người cư trú là công dân Việt Nam được mua, chuyển, mang ngoại tệ ra nước ngoài theo quy định của Ngân hàng Nhà nước Việt Nam cho các mục đích sau:</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a) Học tập, chữa bệnh ở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b) Đi công tác, du lịch, thăm viếng ở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c) Trả các loại phí, lệ phí cho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d) Trợ cấp cho thân nhân đang ở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đ) Chuyển tiền thừa kế cho người hưởng thừa kế ở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e) Chuyển tiền trong trường hợp định cư ở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g) Chuyển tiền một chiều cho các nhu cầu hợp pháp khác.</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3. Người không cư trú, người cư trú là người nước ngoài có ngoại tệ trên tài khoản hoặc các nguồn thu ngoại tệ hợp pháp được chuyển, mang ra nước ngoài; trường hợp có nguồn thu hợp pháp bằng đồng Việt Nam thì được mua ngoại tệ để chuyển, mang ra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4. Tổ chức tín dụng được phép có trách nhiệm xem xét các chứng từ, giấy tờ do người cư trú, người không cư trú </w:t>
      </w:r>
      <w:r w:rsidRPr="00A44F32">
        <w:rPr>
          <w:rFonts w:ascii="Times New Roman" w:hAnsi="Times New Roman"/>
          <w:sz w:val="26"/>
          <w:szCs w:val="26"/>
          <w:shd w:val="solid" w:color="FFFFFF" w:fill="auto"/>
        </w:rPr>
        <w:t>xuất</w:t>
      </w:r>
      <w:r w:rsidRPr="00A44F32">
        <w:rPr>
          <w:rFonts w:ascii="Times New Roman" w:hAnsi="Times New Roman"/>
          <w:sz w:val="26"/>
          <w:szCs w:val="26"/>
        </w:rPr>
        <w:t xml:space="preserve"> trình để bán, chuyển, xác nhận nguồn ngoại tệ tự có hoặc mua từ tổ chức tín dụng được phép để mang ra nước ngoài căn cứ vào yêu cầu thực tế, hợp lý của từng giao dịch chuyển tiền.</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4" w:name="dieu_8"/>
      <w:r w:rsidRPr="00A44F32">
        <w:rPr>
          <w:rFonts w:ascii="Times New Roman" w:hAnsi="Times New Roman"/>
          <w:b/>
          <w:bCs/>
          <w:sz w:val="26"/>
          <w:szCs w:val="26"/>
        </w:rPr>
        <w:t>Điều 8. Mở và sử dụng tài khoản vốn đầu tư trực tiếp</w:t>
      </w:r>
      <w:bookmarkEnd w:id="14"/>
    </w:p>
    <w:p w:rsidR="00454C17" w:rsidRPr="00A44F32" w:rsidRDefault="00454C17" w:rsidP="00454C17">
      <w:pPr>
        <w:spacing w:before="120" w:after="280" w:afterAutospacing="1" w:line="360" w:lineRule="auto"/>
        <w:jc w:val="both"/>
        <w:rPr>
          <w:rFonts w:ascii="Times New Roman" w:hAnsi="Times New Roman"/>
          <w:sz w:val="26"/>
          <w:szCs w:val="26"/>
        </w:rPr>
      </w:pPr>
      <w:bookmarkStart w:id="15" w:name="khoan_1"/>
      <w:r w:rsidRPr="00A44F32">
        <w:rPr>
          <w:rFonts w:ascii="Times New Roman" w:hAnsi="Times New Roman"/>
          <w:sz w:val="26"/>
          <w:szCs w:val="26"/>
        </w:rPr>
        <w:t xml:space="preserve">1. Người cư trú là doanh nghiệp có vốn đầu tư trực tiếp nước ngoài và nhà đầu tư nước ngoài tham gia hợp đồng hợp tác kinh doanh phải mở tài khoản vốn đầu tư trực tiếp bằng ngoại tệ tại 01 (một) tổ chức tín dụng được phép để thực hiện các giao dịch thu, chi liên quan đến hoạt động </w:t>
      </w:r>
      <w:r w:rsidRPr="00A44F32">
        <w:rPr>
          <w:rFonts w:ascii="Times New Roman" w:hAnsi="Times New Roman"/>
          <w:sz w:val="26"/>
          <w:szCs w:val="26"/>
          <w:shd w:val="solid" w:color="FFFFFF" w:fill="auto"/>
        </w:rPr>
        <w:t>đầu tư</w:t>
      </w:r>
      <w:r w:rsidRPr="00A44F32">
        <w:rPr>
          <w:rFonts w:ascii="Times New Roman" w:hAnsi="Times New Roman"/>
          <w:sz w:val="26"/>
          <w:szCs w:val="26"/>
        </w:rPr>
        <w:t xml:space="preserve"> trực tiếp tại Việt Nam.</w:t>
      </w:r>
      <w:bookmarkEnd w:id="15"/>
    </w:p>
    <w:p w:rsidR="00454C17" w:rsidRPr="00A44F32" w:rsidRDefault="00454C17" w:rsidP="00454C17">
      <w:pPr>
        <w:spacing w:before="120" w:after="280" w:afterAutospacing="1" w:line="360" w:lineRule="auto"/>
        <w:jc w:val="both"/>
        <w:rPr>
          <w:rFonts w:ascii="Times New Roman" w:hAnsi="Times New Roman"/>
          <w:sz w:val="26"/>
          <w:szCs w:val="26"/>
        </w:rPr>
      </w:pPr>
      <w:bookmarkStart w:id="16" w:name="khoan_2"/>
      <w:r w:rsidRPr="00A44F32">
        <w:rPr>
          <w:rFonts w:ascii="Times New Roman" w:hAnsi="Times New Roman"/>
          <w:sz w:val="26"/>
          <w:szCs w:val="26"/>
        </w:rPr>
        <w:t xml:space="preserve">2. Trường hợp thực hiện đầu tư bằng đồng Việt Nam, người cư trú là doanh nghiệp có vốn đầu tư trực tiếp nước ngoài và nhà đầu tư nước ngoài tham gia hợp đồng hợp tác kinh doanh được mở 01 (một) tài khoản vốn đầu tư trực tiếp bằng đồng Việt Nam tại tổ chức tín dụng được phép nơi doanh nghiệp có vốn đầu tư trực tiếp nước ngoài và nhà đầu tư nước ngoài tham gia </w:t>
      </w:r>
      <w:r w:rsidRPr="00A44F32">
        <w:rPr>
          <w:rFonts w:ascii="Times New Roman" w:hAnsi="Times New Roman"/>
          <w:sz w:val="26"/>
          <w:szCs w:val="26"/>
          <w:shd w:val="solid" w:color="FFFFFF" w:fill="auto"/>
        </w:rPr>
        <w:t>hợp đồng</w:t>
      </w:r>
      <w:r w:rsidRPr="00A44F32">
        <w:rPr>
          <w:rFonts w:ascii="Times New Roman" w:hAnsi="Times New Roman"/>
          <w:sz w:val="26"/>
          <w:szCs w:val="26"/>
        </w:rPr>
        <w:t xml:space="preserve"> hợp tác kinh doanh đã mở tài khoản vốn đầu tư trực tiếp bằng ngoại tệ theo quy định tại Khoản 1 Điều này để thực hiện các giao dịch thu chi hợp pháp bằng đồng Việt Nam liên quan đến hoạt động đầu tư trực tiếp nước ngoài tại Việt Nam.</w:t>
      </w:r>
      <w:bookmarkEnd w:id="16"/>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3. Ngân hàng Nhà nước Việt Nam quy định chi tiết việc mở và sử dụng các tài khoản vốn đầu tư trực tiếp quy định tại Khoản 1 và Khoản 2 Điều này.</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7" w:name="dieu_9"/>
      <w:r w:rsidRPr="00A44F32">
        <w:rPr>
          <w:rFonts w:ascii="Times New Roman" w:hAnsi="Times New Roman"/>
          <w:b/>
          <w:bCs/>
          <w:sz w:val="26"/>
          <w:szCs w:val="26"/>
        </w:rPr>
        <w:t>Điều 9. Chuyển thu nhập từ hoạt động đầu tư trực tiếp ra nước ngoài</w:t>
      </w:r>
      <w:bookmarkEnd w:id="17"/>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Trường hợp có nhu cầu chuyển các nguồn thu hợp pháp bằng đồng Việt Nam từ hoạt động đầu tư trực tiếp tại Việt Nam ra nước ngoài, nhà đầu tư nước ngoài được mua ngoại tệ tại </w:t>
      </w:r>
      <w:r w:rsidRPr="00A44F32">
        <w:rPr>
          <w:rFonts w:ascii="Times New Roman" w:hAnsi="Times New Roman"/>
          <w:sz w:val="26"/>
          <w:szCs w:val="26"/>
          <w:shd w:val="solid" w:color="FFFFFF" w:fill="auto"/>
        </w:rPr>
        <w:t>tổ chức</w:t>
      </w:r>
      <w:r w:rsidRPr="00A44F32">
        <w:rPr>
          <w:rFonts w:ascii="Times New Roman" w:hAnsi="Times New Roman"/>
          <w:sz w:val="26"/>
          <w:szCs w:val="26"/>
        </w:rPr>
        <w:t xml:space="preserve"> tín dụng được phép và chuyển ra nước ngoài trong thời hạn 30 (ba mươi) ngày làm việc, kể từ ngày mua được ngoại tệ.</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8" w:name="dieu_10"/>
      <w:r w:rsidRPr="00A44F32">
        <w:rPr>
          <w:rFonts w:ascii="Times New Roman" w:hAnsi="Times New Roman"/>
          <w:b/>
          <w:bCs/>
          <w:sz w:val="26"/>
          <w:szCs w:val="26"/>
        </w:rPr>
        <w:t>Điều 10. Người cư trú là tổ chức phát hành chứng k</w:t>
      </w:r>
      <w:r w:rsidRPr="00A44F32">
        <w:rPr>
          <w:rFonts w:ascii="Times New Roman" w:hAnsi="Times New Roman"/>
          <w:b/>
          <w:bCs/>
          <w:sz w:val="26"/>
          <w:szCs w:val="26"/>
          <w:shd w:val="solid" w:color="FFFFFF" w:fill="auto"/>
        </w:rPr>
        <w:t>hoán</w:t>
      </w:r>
      <w:r w:rsidRPr="00A44F32">
        <w:rPr>
          <w:rFonts w:ascii="Times New Roman" w:hAnsi="Times New Roman"/>
          <w:b/>
          <w:bCs/>
          <w:sz w:val="26"/>
          <w:szCs w:val="26"/>
        </w:rPr>
        <w:t xml:space="preserve"> ở nước ngoài</w:t>
      </w:r>
      <w:bookmarkEnd w:id="18"/>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Khi được phép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ở nước ngoài bằng ngoại tệ dưới hình thức phát hành trái phiếu, người cư trú là tổ chức phải tuân thủ các quy định hiện hành </w:t>
      </w:r>
      <w:r w:rsidRPr="00A44F32">
        <w:rPr>
          <w:rFonts w:ascii="Times New Roman" w:hAnsi="Times New Roman"/>
          <w:sz w:val="26"/>
          <w:szCs w:val="26"/>
          <w:shd w:val="solid" w:color="FFFFFF" w:fill="auto"/>
        </w:rPr>
        <w:t>về</w:t>
      </w:r>
      <w:r w:rsidRPr="00A44F32">
        <w:rPr>
          <w:rFonts w:ascii="Times New Roman" w:hAnsi="Times New Roman"/>
          <w:sz w:val="26"/>
          <w:szCs w:val="26"/>
        </w:rPr>
        <w:t xml:space="preserve"> quản lý vay, trả nợ nước ngoài và các quy định pháp luật có liên quan.</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Khi được phép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bằng ngoại tệ ở nước ngoài dưới hình thức phát hành cổ phiếu, chứng chỉ quỹ </w:t>
      </w:r>
      <w:r w:rsidRPr="00A44F32">
        <w:rPr>
          <w:rFonts w:ascii="Times New Roman" w:hAnsi="Times New Roman"/>
          <w:sz w:val="26"/>
          <w:szCs w:val="26"/>
          <w:shd w:val="solid" w:color="FFFFFF" w:fill="auto"/>
        </w:rPr>
        <w:t>đầu tư</w:t>
      </w:r>
      <w:r w:rsidRPr="00A44F32">
        <w:rPr>
          <w:rFonts w:ascii="Times New Roman" w:hAnsi="Times New Roman"/>
          <w:sz w:val="26"/>
          <w:szCs w:val="26"/>
        </w:rPr>
        <w:t xml:space="preserve"> và các loại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khác, người cư trú là tổ chức phải mở một tài khoản vốn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bằng ngoại tệ tại một tổ chức tín dụng được phép, thực hiện thu, chi ngoại tệ có liên quan đến việc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thông qua tài khoản này theo quy định của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19" w:name="dieu_11"/>
      <w:r w:rsidRPr="00A44F32">
        <w:rPr>
          <w:rFonts w:ascii="Times New Roman" w:hAnsi="Times New Roman"/>
          <w:b/>
          <w:bCs/>
          <w:sz w:val="26"/>
          <w:szCs w:val="26"/>
        </w:rPr>
        <w:t>Điều 11. Người không cư trú là tổ chức phát hành chứng k</w:t>
      </w:r>
      <w:r w:rsidRPr="00A44F32">
        <w:rPr>
          <w:rFonts w:ascii="Times New Roman" w:hAnsi="Times New Roman"/>
          <w:b/>
          <w:bCs/>
          <w:sz w:val="26"/>
          <w:szCs w:val="26"/>
          <w:shd w:val="solid" w:color="FFFFFF" w:fill="auto"/>
        </w:rPr>
        <w:t>hoán</w:t>
      </w:r>
      <w:r w:rsidRPr="00A44F32">
        <w:rPr>
          <w:rFonts w:ascii="Times New Roman" w:hAnsi="Times New Roman"/>
          <w:b/>
          <w:bCs/>
          <w:sz w:val="26"/>
          <w:szCs w:val="26"/>
        </w:rPr>
        <w:t xml:space="preserve"> tại Việt Nam</w:t>
      </w:r>
      <w:bookmarkEnd w:id="19"/>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Người không cư trú là tổ chức chỉ được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bằng đồng Việt Nam trên lãnh thổ Việt Nam trên cơ sở tuân thủ các quy định của pháp luật về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và pháp luật khác có liên quan.</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Khi được phép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tại Việt Nam, người không cư trú là tổ chức phải mở 01 (một) tài khoản vốn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bằng đồng Việt Nam tại 01 (một) tổ chức tín dụng được phép để thực hiện các giao dịch thu, chi bằng đồng Việt Nam liên quan đến việc phát hành chứng k</w:t>
      </w:r>
      <w:r w:rsidRPr="00A44F32">
        <w:rPr>
          <w:rFonts w:ascii="Times New Roman" w:hAnsi="Times New Roman"/>
          <w:sz w:val="26"/>
          <w:szCs w:val="26"/>
          <w:shd w:val="solid" w:color="FFFFFF" w:fill="auto"/>
        </w:rPr>
        <w:t>hoán</w:t>
      </w:r>
      <w:r w:rsidRPr="00A44F32">
        <w:rPr>
          <w:rFonts w:ascii="Times New Roman" w:hAnsi="Times New Roman"/>
          <w:sz w:val="26"/>
          <w:szCs w:val="26"/>
        </w:rPr>
        <w:t xml:space="preserve"> thông qua tài khoản này theo quy định của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0" w:name="dieu_12"/>
      <w:r w:rsidRPr="00A44F32">
        <w:rPr>
          <w:rFonts w:ascii="Times New Roman" w:hAnsi="Times New Roman"/>
          <w:b/>
          <w:bCs/>
          <w:sz w:val="26"/>
          <w:szCs w:val="26"/>
        </w:rPr>
        <w:t>Điều 12. Mở và sử dụng tài khoản ngoại tệ ở nước ngoài của ng</w:t>
      </w:r>
      <w:r w:rsidRPr="00A44F32">
        <w:rPr>
          <w:rFonts w:ascii="Times New Roman" w:hAnsi="Times New Roman"/>
          <w:b/>
          <w:bCs/>
          <w:sz w:val="26"/>
          <w:szCs w:val="26"/>
          <w:shd w:val="solid" w:color="FFFFFF" w:fill="auto"/>
        </w:rPr>
        <w:t>ườ</w:t>
      </w:r>
      <w:r w:rsidRPr="00A44F32">
        <w:rPr>
          <w:rFonts w:ascii="Times New Roman" w:hAnsi="Times New Roman"/>
          <w:b/>
          <w:bCs/>
          <w:sz w:val="26"/>
          <w:szCs w:val="26"/>
        </w:rPr>
        <w:t xml:space="preserve">i cư trú là </w:t>
      </w:r>
      <w:r w:rsidRPr="00A44F32">
        <w:rPr>
          <w:rFonts w:ascii="Times New Roman" w:hAnsi="Times New Roman"/>
          <w:b/>
          <w:bCs/>
          <w:sz w:val="26"/>
          <w:szCs w:val="26"/>
          <w:shd w:val="solid" w:color="FFFFFF" w:fill="auto"/>
        </w:rPr>
        <w:t>tổ chức</w:t>
      </w:r>
      <w:bookmarkEnd w:id="20"/>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Ngân hàng Nhà nước Việt Nam quy định thủ tục cấp và thu hồi giấy phép mở và sử dụng tài khoản ngoại tệ ở nước ngoài của người cư trú là tổ chức trong các trường hợp sau đây:</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Tổ chức kinh tế có chi nhánh, văn phòng đại diện ở nước ngoài hoặc có nhu cầu mở tài khoản ngoại tệ ở nước ngoài để tiếp nhận vốn vay, thực hiện cam kết, hợp đồng với bên nước ngoài.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Cơ quan nhà n</w:t>
      </w:r>
      <w:r w:rsidRPr="00A44F32">
        <w:rPr>
          <w:rFonts w:ascii="Times New Roman" w:hAnsi="Times New Roman"/>
          <w:sz w:val="26"/>
          <w:szCs w:val="26"/>
          <w:shd w:val="solid" w:color="FFFFFF" w:fill="auto"/>
        </w:rPr>
        <w:t>ướ</w:t>
      </w:r>
      <w:r w:rsidRPr="00A44F32">
        <w:rPr>
          <w:rFonts w:ascii="Times New Roman" w:hAnsi="Times New Roman"/>
          <w:sz w:val="26"/>
          <w:szCs w:val="26"/>
        </w:rPr>
        <w:t>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 có nhu cầu mở tài khoản ngoại tệ ở nước ngoài để tiếp nhận viện trợ, tài trợ của nước ngoài hoặc các trường hợp khác được cơ quan có thẩm quyền của Việt Nam cho phép.</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1" w:name="dieu_13"/>
      <w:r w:rsidRPr="00A44F32">
        <w:rPr>
          <w:rFonts w:ascii="Times New Roman" w:hAnsi="Times New Roman"/>
          <w:b/>
          <w:bCs/>
          <w:sz w:val="26"/>
          <w:szCs w:val="26"/>
        </w:rPr>
        <w:t>Điều 13. Sử dụng ngoại tệ tiền mặt của cá nhân</w:t>
      </w:r>
      <w:bookmarkEnd w:id="21"/>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Người cư trú, người không cư trú là cá nhân có ngoại tệ tiền mặt được quyền cất giữ, mang theo người, cho, tặng, thừa kế, bán cho tổ chức tín dụng được phép, chuyển, mang ra nước ngoài theo các quy định tại Nghị định này, thanh toán cho các đối tượng được phép thu ngoại tệ tiền mặt.</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Người cư trú là công dân Việt Nam được sử dụng ngoại tệ tiền mặt để gửi tiết kiệm ngoại tệ tại tổ chức tín dụng được phép, được rút tiền gốc, lãi bằng đồng tiền đã gửi.</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2" w:name="dieu_14"/>
      <w:r w:rsidRPr="00A44F32">
        <w:rPr>
          <w:rFonts w:ascii="Times New Roman" w:hAnsi="Times New Roman"/>
          <w:b/>
          <w:bCs/>
          <w:sz w:val="26"/>
          <w:szCs w:val="26"/>
        </w:rPr>
        <w:t>Điều 14. Thị trường ngoại tệ của Việt Nam</w:t>
      </w:r>
      <w:bookmarkEnd w:id="22"/>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Thị trường ngoại tệ là nơi diễn ra hoạt động mua bán các loại ngoại tệ. Đối tượng tham gia thị trường ngoại tệ bao gồm Ngân hàng Nhà nước Việt Nam, các tổ chức tín dụng được phép và khách hàng là người cư trú, người không cư trú tại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Ngân hàng Nhà nước Việt Nam quy định điều kiện, phương thức, các loại hình nghiệp vụ giao dịch ngoại tệ trên thị trường ngoại tệ.</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2. Thị trường ngoại tệ liên ngân hàng là thị trường cho các giao dịch giữa Ngân hàng Nhà nước Việt Nam với các </w:t>
      </w:r>
      <w:r w:rsidRPr="00A44F32">
        <w:rPr>
          <w:rFonts w:ascii="Times New Roman" w:hAnsi="Times New Roman"/>
          <w:sz w:val="26"/>
          <w:szCs w:val="26"/>
          <w:shd w:val="solid" w:color="FFFFFF" w:fill="auto"/>
        </w:rPr>
        <w:t>tổ chức</w:t>
      </w:r>
      <w:r w:rsidRPr="00A44F32">
        <w:rPr>
          <w:rFonts w:ascii="Times New Roman" w:hAnsi="Times New Roman"/>
          <w:sz w:val="26"/>
          <w:szCs w:val="26"/>
        </w:rPr>
        <w:t xml:space="preserve"> tín dụng được phép và giữa các tổ chức tín dụng được phép với nhau. Các thành viên tham gia thị trường ngoại tệ liên ngân hàng thực hiện mua bán ngoại tệ theo các phương thức, loại hình nghiệp vụ giao dịch trên cơ sở các thỏa thuận, cam kết giữa các bên theo thông lệ quốc tế và phù hợp với quy định của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3" w:name="dieu_15"/>
      <w:r w:rsidRPr="00A44F32">
        <w:rPr>
          <w:rFonts w:ascii="Times New Roman" w:hAnsi="Times New Roman"/>
          <w:b/>
          <w:bCs/>
          <w:sz w:val="26"/>
          <w:szCs w:val="26"/>
        </w:rPr>
        <w:t>Điều 15. Chế độ tỷ giá hối đoái của đồng Việt Nam</w:t>
      </w:r>
      <w:bookmarkEnd w:id="23"/>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Tỷ giá hối đoái của đồng Việt Nam được hình thành trên cơ sở cung cầu ngoại tệ trên thị trường có sự điều tiết của Nhà nước. Ngân hàng Nhà nước Việt Nam thực hiện điều tiết tỷ giá hối đoái thông qua việc sử dụng các công cụ của chính sách tiền tệ và thực hiện phương án can thiệp trên thị trường ngoại tệ.</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Chế độ tỷ giá hối đoái của đồng Việt Nam là chế độ tỷ giá thả nổi có quản lý do Ngân hàng Nhà nước Việt Nam xác định trên cơ sở rổ tiền tệ của các nước có quan hệ thương mại, vay, trả nợ, đầu tư với Việt Nam phù hợp với mục tiêu kinh tế vĩ mô trong từng thời kỳ,</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4" w:name="dieu_16"/>
      <w:r w:rsidRPr="00A44F32">
        <w:rPr>
          <w:rFonts w:ascii="Times New Roman" w:hAnsi="Times New Roman"/>
          <w:b/>
          <w:bCs/>
          <w:sz w:val="26"/>
          <w:szCs w:val="26"/>
        </w:rPr>
        <w:t>Điều 16. Kiểm tra chứng từ</w:t>
      </w:r>
      <w:bookmarkEnd w:id="24"/>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Tổ chức tín dụng được phép và tổ chức khác được phép hoạt động ngoại hối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5" w:name="dieu_17"/>
      <w:r w:rsidRPr="00A44F32">
        <w:rPr>
          <w:rFonts w:ascii="Times New Roman" w:hAnsi="Times New Roman"/>
          <w:b/>
          <w:bCs/>
          <w:sz w:val="26"/>
          <w:szCs w:val="26"/>
        </w:rPr>
        <w:t xml:space="preserve">Điều 17. Đáp ứng nhu cầu ngoại tệ để thanh toán </w:t>
      </w:r>
      <w:r w:rsidRPr="00A44F32">
        <w:rPr>
          <w:rFonts w:ascii="Times New Roman" w:hAnsi="Times New Roman"/>
          <w:b/>
          <w:bCs/>
          <w:sz w:val="26"/>
          <w:szCs w:val="26"/>
          <w:shd w:val="solid" w:color="FFFFFF" w:fill="auto"/>
        </w:rPr>
        <w:t>vãng lai</w:t>
      </w:r>
      <w:bookmarkEnd w:id="25"/>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Trong phạm vi khả năng ngoại tệ hiện có, tổ chức tín dụng được phép có trách nhiệm đáp ứng các nhu cầu ngoại tệ của người cư trú, người không cư trú để thanh toán cho các giao dịch </w:t>
      </w:r>
      <w:r w:rsidRPr="00A44F32">
        <w:rPr>
          <w:rFonts w:ascii="Times New Roman" w:hAnsi="Times New Roman"/>
          <w:sz w:val="26"/>
          <w:szCs w:val="26"/>
          <w:shd w:val="solid" w:color="FFFFFF" w:fill="auto"/>
        </w:rPr>
        <w:t>vãng lai</w:t>
      </w:r>
      <w:r w:rsidRPr="00A44F32">
        <w:rPr>
          <w:rFonts w:ascii="Times New Roman" w:hAnsi="Times New Roman"/>
          <w:sz w:val="26"/>
          <w:szCs w:val="26"/>
        </w:rPr>
        <w:t xml:space="preserve"> căn cứ theo nhu cầu thực tế và hợp lý của từng giao dịch.</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6" w:name="dieu_18"/>
      <w:r w:rsidRPr="00A44F32">
        <w:rPr>
          <w:rFonts w:ascii="Times New Roman" w:hAnsi="Times New Roman"/>
          <w:b/>
          <w:bCs/>
          <w:sz w:val="26"/>
          <w:szCs w:val="26"/>
        </w:rPr>
        <w:t>Điều 18. Thanh tra, kiểm tra, giám sát và báo cáo</w:t>
      </w:r>
      <w:bookmarkEnd w:id="26"/>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Tổ chức tín dụng được phép và tổ chức khác được phép hoạt động ngoại hối phải chịu sự thanh tra, kiểm tra, giám sát và thực hiện chế độ báo cáo theo quy định của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Quyền và nghĩa vụ về thông tin, báo cáo của tổ chức tín dụng được phép:</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a) Báo cáo các thông tin, số liệu liên quan đến ngoại hối và hoạt động ngoại hối theo đúng thời hạn quy định tại các văn bản pháp luật hiện hành liên quan đến hoạt động ngoại hối;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b) Yêu cầu khách hàng cung cấp thông tin nhằm phục vụ việc thu thập số liệu, thông tin liên quan đến ngoại hối và hoạt động ngoại hối;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c) Giữ bí mật và chịu trách nhiệm về các thông tin thuộc danh mục bí mật của ngành ngân hàng.</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3. Quyền và nghĩa vụ về thông tin, báo cáo của tổ chức và cá nhân:</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a) Tổ chức, cá nhân tham gia hoạt động ngoại hối có nghĩa vụ cung cấp các thông tin, số liệu theo yêu cầu của Ngân hàng Nhà nước Việt Nam, tổ chức tín dụng được phép theo đúng thời hạn quy định tại các văn bản pháp luật hiện hành liên quan đến hoạt động ngoại hối;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shd w:val="solid" w:color="FFFFFF" w:fill="auto"/>
        </w:rPr>
        <w:t>b) Tổ chức</w:t>
      </w:r>
      <w:r w:rsidRPr="00A44F32">
        <w:rPr>
          <w:rFonts w:ascii="Times New Roman" w:hAnsi="Times New Roman"/>
          <w:sz w:val="26"/>
          <w:szCs w:val="26"/>
        </w:rPr>
        <w:t>, cá nhân có quyền yêu cầu tổ chức tín dụng được phép cung cấp các thông tin hướng dẫn để thực hiện đúng các chính sách về quản lý ngoại hối.</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7" w:name="dieu_19"/>
      <w:r w:rsidRPr="00A44F32">
        <w:rPr>
          <w:rFonts w:ascii="Times New Roman" w:hAnsi="Times New Roman"/>
          <w:b/>
          <w:bCs/>
          <w:sz w:val="26"/>
          <w:szCs w:val="26"/>
        </w:rPr>
        <w:t>Điều 19. Chế độ thông tin báo cáo</w:t>
      </w:r>
      <w:bookmarkEnd w:id="27"/>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Trách nhiệm của Ngân hàng Nhà nước Việt Nam:</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a) Ban hành chế độ thông tin báo cáo, phân tích, dự báo và công bố thông tin về hoạt động ngoại hối;</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b) Chủ trì, phối hợp với các Bộ, ngành thu thập thông tin, số liệu nhằm phục vụ công tác quản lý ngoại hối của Nhà nước và lập cán cân thanh toán quốc tế.</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xml:space="preserve">2. Trách nhiệm của các Bộ, cơ quan ngang Bộ, cơ quan thuộc Chính phủ, </w:t>
      </w:r>
      <w:r w:rsidRPr="00A44F32">
        <w:rPr>
          <w:rFonts w:ascii="Times New Roman" w:hAnsi="Times New Roman"/>
          <w:sz w:val="26"/>
          <w:szCs w:val="26"/>
          <w:shd w:val="solid" w:color="FFFFFF" w:fill="auto"/>
        </w:rPr>
        <w:t>Ủy ban</w:t>
      </w:r>
      <w:r w:rsidRPr="00A44F32">
        <w:rPr>
          <w:rFonts w:ascii="Times New Roman" w:hAnsi="Times New Roman"/>
          <w:sz w:val="26"/>
          <w:szCs w:val="26"/>
        </w:rPr>
        <w:t xml:space="preserve"> nhân dân tỉnh, thành phố trực thuộc Trung ương</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Bộ, cơ quan ngang Bộ, cơ quan thuộc Chính phủ, Ủy ban nhân dân tỉnh, thành phố trực thuộc Trung ương trong phạm vi nhiệm vụ, quyền hạn của mình, có trách nhiệm báo cáo thông tin, số liệu về hoạt động ngoại hối cho Ngân hàng Nhà nước Việt Nam nhằm phục vụ công tác quản lý ngoại hối của Nhà nước và lập cán cân thanh toán quốc tế.</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28" w:name="chuong_3"/>
      <w:r w:rsidRPr="00A44F32">
        <w:rPr>
          <w:rFonts w:ascii="Times New Roman" w:hAnsi="Times New Roman"/>
          <w:b/>
          <w:bCs/>
          <w:sz w:val="26"/>
          <w:szCs w:val="26"/>
        </w:rPr>
        <w:t>Chương III</w:t>
      </w:r>
      <w:bookmarkEnd w:id="28"/>
    </w:p>
    <w:p w:rsidR="00454C17" w:rsidRPr="00A44F32" w:rsidRDefault="00454C17" w:rsidP="00454C17">
      <w:pPr>
        <w:spacing w:before="120" w:after="280" w:afterAutospacing="1" w:line="360" w:lineRule="auto"/>
        <w:jc w:val="both"/>
        <w:rPr>
          <w:rFonts w:ascii="Times New Roman" w:hAnsi="Times New Roman"/>
          <w:sz w:val="26"/>
          <w:szCs w:val="26"/>
        </w:rPr>
      </w:pPr>
      <w:bookmarkStart w:id="29" w:name="chuong_3_name"/>
      <w:r w:rsidRPr="00A44F32">
        <w:rPr>
          <w:rFonts w:ascii="Times New Roman" w:hAnsi="Times New Roman"/>
          <w:b/>
          <w:bCs/>
          <w:sz w:val="26"/>
          <w:szCs w:val="26"/>
        </w:rPr>
        <w:t>ĐIỀU KHOẢN THI HÀNH</w:t>
      </w:r>
      <w:bookmarkEnd w:id="29"/>
    </w:p>
    <w:p w:rsidR="00454C17" w:rsidRPr="00A44F32" w:rsidRDefault="00454C17" w:rsidP="00454C17">
      <w:pPr>
        <w:spacing w:before="120" w:after="280" w:afterAutospacing="1" w:line="360" w:lineRule="auto"/>
        <w:jc w:val="both"/>
        <w:rPr>
          <w:rFonts w:ascii="Times New Roman" w:hAnsi="Times New Roman"/>
          <w:sz w:val="26"/>
          <w:szCs w:val="26"/>
        </w:rPr>
      </w:pPr>
      <w:bookmarkStart w:id="30" w:name="dieu_20"/>
      <w:r w:rsidRPr="00A44F32">
        <w:rPr>
          <w:rFonts w:ascii="Times New Roman" w:hAnsi="Times New Roman"/>
          <w:b/>
          <w:bCs/>
          <w:sz w:val="26"/>
          <w:szCs w:val="26"/>
        </w:rPr>
        <w:t>Điều 20. Hiệu lực thi hành</w:t>
      </w:r>
      <w:bookmarkEnd w:id="30"/>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1. Nghị định này có hiệu lực thi hành kể từ ngày 05 tháng 9 nám 2014.</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2. Nghị định này thay thế Nghị định số 160/2006/NĐ-CP ngày 28 tháng 12 năm 2006 của Chính phủ quy định chi tiết thi hành Pháp lệnh Ngoại hối.</w:t>
      </w:r>
    </w:p>
    <w:p w:rsidR="00454C17" w:rsidRPr="00A44F32" w:rsidRDefault="00454C17" w:rsidP="00454C17">
      <w:pPr>
        <w:spacing w:before="120" w:after="280" w:afterAutospacing="1" w:line="360" w:lineRule="auto"/>
        <w:jc w:val="both"/>
        <w:rPr>
          <w:rFonts w:ascii="Times New Roman" w:hAnsi="Times New Roman"/>
          <w:sz w:val="26"/>
          <w:szCs w:val="26"/>
        </w:rPr>
      </w:pPr>
      <w:bookmarkStart w:id="31" w:name="dieu_21"/>
      <w:r w:rsidRPr="00A44F32">
        <w:rPr>
          <w:rFonts w:ascii="Times New Roman" w:hAnsi="Times New Roman"/>
          <w:b/>
          <w:bCs/>
          <w:sz w:val="26"/>
          <w:szCs w:val="26"/>
        </w:rPr>
        <w:t>Điều 21. Trách nhiệm thi hành</w:t>
      </w:r>
      <w:bookmarkEnd w:id="31"/>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Thống đốc Ngân hàng Nhà nước Việt Nam,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w:t>
      </w:r>
    </w:p>
    <w:tbl>
      <w:tblPr>
        <w:tblW w:w="8544" w:type="dxa"/>
        <w:tblBorders>
          <w:top w:val="nil"/>
          <w:bottom w:val="nil"/>
          <w:insideH w:val="nil"/>
          <w:insideV w:val="nil"/>
        </w:tblBorders>
        <w:tblCellMar>
          <w:left w:w="0" w:type="dxa"/>
          <w:right w:w="0" w:type="dxa"/>
        </w:tblCellMar>
        <w:tblLook w:val="04A0" w:firstRow="1" w:lastRow="0" w:firstColumn="1" w:lastColumn="0" w:noHBand="0" w:noVBand="1"/>
      </w:tblPr>
      <w:tblGrid>
        <w:gridCol w:w="3863"/>
        <w:gridCol w:w="4681"/>
      </w:tblGrid>
      <w:tr w:rsidR="00454C17" w:rsidRPr="00A44F32" w:rsidTr="00FA2439">
        <w:tc>
          <w:tcPr>
            <w:tcW w:w="3863" w:type="dxa"/>
            <w:tcBorders>
              <w:top w:val="nil"/>
              <w:left w:val="nil"/>
              <w:bottom w:val="nil"/>
              <w:right w:val="nil"/>
              <w:tl2br w:val="nil"/>
              <w:tr2bl w:val="nil"/>
            </w:tcBorders>
            <w:shd w:val="clear" w:color="auto" w:fill="auto"/>
            <w:tcMar>
              <w:top w:w="0" w:type="dxa"/>
              <w:left w:w="108" w:type="dxa"/>
              <w:bottom w:w="0" w:type="dxa"/>
              <w:right w:w="108" w:type="dxa"/>
            </w:tcMar>
          </w:tcPr>
          <w:p w:rsidR="00454C17" w:rsidRPr="00A44F32" w:rsidRDefault="00454C17" w:rsidP="00FA2439">
            <w:pPr>
              <w:spacing w:before="120" w:after="0" w:line="360" w:lineRule="auto"/>
              <w:jc w:val="both"/>
              <w:rPr>
                <w:rFonts w:ascii="Times New Roman" w:hAnsi="Times New Roman"/>
                <w:sz w:val="26"/>
                <w:szCs w:val="26"/>
              </w:rPr>
            </w:pPr>
            <w:r w:rsidRPr="00A44F32">
              <w:rPr>
                <w:rFonts w:ascii="Times New Roman" w:hAnsi="Times New Roman"/>
                <w:b/>
                <w:bCs/>
                <w:i/>
                <w:iCs/>
                <w:sz w:val="26"/>
                <w:szCs w:val="26"/>
              </w:rPr>
              <w:t>Nơi nhận:</w:t>
            </w:r>
            <w:r w:rsidRPr="00A44F32">
              <w:rPr>
                <w:rFonts w:ascii="Times New Roman" w:hAnsi="Times New Roman"/>
                <w:b/>
                <w:bCs/>
                <w:i/>
                <w:iCs/>
                <w:sz w:val="26"/>
                <w:szCs w:val="26"/>
              </w:rPr>
              <w:br/>
            </w:r>
            <w:r w:rsidRPr="00A44F32">
              <w:rPr>
                <w:rFonts w:ascii="Times New Roman" w:hAnsi="Times New Roman"/>
                <w:sz w:val="26"/>
                <w:szCs w:val="26"/>
              </w:rPr>
              <w:t>- Ban Bí thư Trung ương Đảng;</w:t>
            </w:r>
            <w:r w:rsidRPr="00A44F32">
              <w:rPr>
                <w:rFonts w:ascii="Times New Roman" w:hAnsi="Times New Roman"/>
                <w:sz w:val="26"/>
                <w:szCs w:val="26"/>
              </w:rPr>
              <w:br/>
              <w:t>- Thủ tướng, các Phó Thủ t</w:t>
            </w:r>
            <w:r w:rsidRPr="00A44F32">
              <w:rPr>
                <w:rFonts w:ascii="Times New Roman" w:hAnsi="Times New Roman"/>
                <w:sz w:val="26"/>
                <w:szCs w:val="26"/>
                <w:shd w:val="solid" w:color="FFFFFF" w:fill="auto"/>
              </w:rPr>
              <w:t>ướ</w:t>
            </w:r>
            <w:r w:rsidRPr="00A44F32">
              <w:rPr>
                <w:rFonts w:ascii="Times New Roman" w:hAnsi="Times New Roman"/>
                <w:sz w:val="26"/>
                <w:szCs w:val="26"/>
              </w:rPr>
              <w:t>ng Chính phủ;</w:t>
            </w:r>
            <w:r w:rsidRPr="00A44F32">
              <w:rPr>
                <w:rFonts w:ascii="Times New Roman" w:hAnsi="Times New Roman"/>
                <w:sz w:val="26"/>
                <w:szCs w:val="26"/>
              </w:rPr>
              <w:br/>
              <w:t>- Các Bộ, cơ quan ngang Bộ, cơ quan thuộc CP;</w:t>
            </w:r>
            <w:r w:rsidRPr="00A44F32">
              <w:rPr>
                <w:rFonts w:ascii="Times New Roman" w:hAnsi="Times New Roman"/>
                <w:sz w:val="26"/>
                <w:szCs w:val="26"/>
              </w:rPr>
              <w:br/>
              <w:t xml:space="preserve">- HĐND, </w:t>
            </w:r>
            <w:r w:rsidRPr="00A44F32">
              <w:rPr>
                <w:rFonts w:ascii="Times New Roman" w:hAnsi="Times New Roman"/>
                <w:sz w:val="26"/>
                <w:szCs w:val="26"/>
                <w:shd w:val="solid" w:color="FFFFFF" w:fill="auto"/>
              </w:rPr>
              <w:t>UBND</w:t>
            </w:r>
            <w:r w:rsidRPr="00A44F32">
              <w:rPr>
                <w:rFonts w:ascii="Times New Roman" w:hAnsi="Times New Roman"/>
                <w:sz w:val="26"/>
                <w:szCs w:val="26"/>
              </w:rPr>
              <w:t xml:space="preserve"> các tỉnh, TP trực thuộc TW;</w:t>
            </w:r>
            <w:r w:rsidRPr="00A44F32">
              <w:rPr>
                <w:rFonts w:ascii="Times New Roman" w:hAnsi="Times New Roman"/>
                <w:sz w:val="26"/>
                <w:szCs w:val="26"/>
              </w:rPr>
              <w:br/>
              <w:t xml:space="preserve">- </w:t>
            </w:r>
            <w:r w:rsidRPr="00A44F32">
              <w:rPr>
                <w:rFonts w:ascii="Times New Roman" w:hAnsi="Times New Roman"/>
                <w:sz w:val="26"/>
                <w:szCs w:val="26"/>
                <w:shd w:val="solid" w:color="FFFFFF" w:fill="auto"/>
              </w:rPr>
              <w:t>Văn</w:t>
            </w:r>
            <w:r w:rsidRPr="00A44F32">
              <w:rPr>
                <w:rFonts w:ascii="Times New Roman" w:hAnsi="Times New Roman"/>
                <w:sz w:val="26"/>
                <w:szCs w:val="26"/>
              </w:rPr>
              <w:t xml:space="preserve"> phòng TW và các Ban </w:t>
            </w:r>
            <w:r w:rsidRPr="00A44F32">
              <w:rPr>
                <w:rFonts w:ascii="Times New Roman" w:hAnsi="Times New Roman"/>
                <w:sz w:val="26"/>
                <w:szCs w:val="26"/>
                <w:shd w:val="solid" w:color="FFFFFF" w:fill="auto"/>
              </w:rPr>
              <w:t>của</w:t>
            </w:r>
            <w:r w:rsidRPr="00A44F32">
              <w:rPr>
                <w:rFonts w:ascii="Times New Roman" w:hAnsi="Times New Roman"/>
                <w:sz w:val="26"/>
                <w:szCs w:val="26"/>
              </w:rPr>
              <w:t xml:space="preserve"> Đảng;</w:t>
            </w:r>
            <w:r w:rsidRPr="00A44F32">
              <w:rPr>
                <w:rFonts w:ascii="Times New Roman" w:hAnsi="Times New Roman"/>
                <w:sz w:val="26"/>
                <w:szCs w:val="26"/>
              </w:rPr>
              <w:br/>
              <w:t xml:space="preserve">- </w:t>
            </w:r>
            <w:r w:rsidRPr="00A44F32">
              <w:rPr>
                <w:rFonts w:ascii="Times New Roman" w:hAnsi="Times New Roman"/>
                <w:sz w:val="26"/>
                <w:szCs w:val="26"/>
                <w:shd w:val="solid" w:color="FFFFFF" w:fill="auto"/>
              </w:rPr>
              <w:t>Văn</w:t>
            </w:r>
            <w:r w:rsidRPr="00A44F32">
              <w:rPr>
                <w:rFonts w:ascii="Times New Roman" w:hAnsi="Times New Roman"/>
                <w:sz w:val="26"/>
                <w:szCs w:val="26"/>
              </w:rPr>
              <w:t xml:space="preserve"> phòng Tổng Bí thư;</w:t>
            </w:r>
            <w:r w:rsidRPr="00A44F32">
              <w:rPr>
                <w:rFonts w:ascii="Times New Roman" w:hAnsi="Times New Roman"/>
                <w:sz w:val="26"/>
                <w:szCs w:val="26"/>
              </w:rPr>
              <w:br/>
              <w:t xml:space="preserve">- </w:t>
            </w:r>
            <w:r w:rsidRPr="00A44F32">
              <w:rPr>
                <w:rFonts w:ascii="Times New Roman" w:hAnsi="Times New Roman"/>
                <w:sz w:val="26"/>
                <w:szCs w:val="26"/>
                <w:shd w:val="solid" w:color="FFFFFF" w:fill="auto"/>
              </w:rPr>
              <w:t>Văn</w:t>
            </w:r>
            <w:r w:rsidRPr="00A44F32">
              <w:rPr>
                <w:rFonts w:ascii="Times New Roman" w:hAnsi="Times New Roman"/>
                <w:sz w:val="26"/>
                <w:szCs w:val="26"/>
              </w:rPr>
              <w:t xml:space="preserve"> phòng Chủ tịch nước;</w:t>
            </w:r>
            <w:r w:rsidRPr="00A44F32">
              <w:rPr>
                <w:rFonts w:ascii="Times New Roman" w:hAnsi="Times New Roman"/>
                <w:sz w:val="26"/>
                <w:szCs w:val="26"/>
              </w:rPr>
              <w:br/>
              <w:t xml:space="preserve">- Hội đồng Dân tộc và các </w:t>
            </w:r>
            <w:r w:rsidRPr="00A44F32">
              <w:rPr>
                <w:rFonts w:ascii="Times New Roman" w:hAnsi="Times New Roman"/>
                <w:sz w:val="26"/>
                <w:szCs w:val="26"/>
                <w:shd w:val="solid" w:color="FFFFFF" w:fill="auto"/>
              </w:rPr>
              <w:t>Ủy ban</w:t>
            </w:r>
            <w:r w:rsidRPr="00A44F32">
              <w:rPr>
                <w:rFonts w:ascii="Times New Roman" w:hAnsi="Times New Roman"/>
                <w:sz w:val="26"/>
                <w:szCs w:val="26"/>
              </w:rPr>
              <w:t xml:space="preserve"> của Quốc hội;</w:t>
            </w:r>
            <w:r w:rsidRPr="00A44F32">
              <w:rPr>
                <w:rFonts w:ascii="Times New Roman" w:hAnsi="Times New Roman"/>
                <w:sz w:val="26"/>
                <w:szCs w:val="26"/>
              </w:rPr>
              <w:br/>
              <w:t xml:space="preserve">- </w:t>
            </w:r>
            <w:r w:rsidRPr="00A44F32">
              <w:rPr>
                <w:rFonts w:ascii="Times New Roman" w:hAnsi="Times New Roman"/>
                <w:sz w:val="26"/>
                <w:szCs w:val="26"/>
                <w:shd w:val="solid" w:color="FFFFFF" w:fill="auto"/>
              </w:rPr>
              <w:t>Văn</w:t>
            </w:r>
            <w:r w:rsidRPr="00A44F32">
              <w:rPr>
                <w:rFonts w:ascii="Times New Roman" w:hAnsi="Times New Roman"/>
                <w:sz w:val="26"/>
                <w:szCs w:val="26"/>
              </w:rPr>
              <w:t xml:space="preserve"> phòng Quốc hội;</w:t>
            </w:r>
            <w:r w:rsidRPr="00A44F32">
              <w:rPr>
                <w:rFonts w:ascii="Times New Roman" w:hAnsi="Times New Roman"/>
                <w:sz w:val="26"/>
                <w:szCs w:val="26"/>
              </w:rPr>
              <w:br/>
              <w:t>- Tòa án nhân dân tối cao;</w:t>
            </w:r>
            <w:r w:rsidRPr="00A44F32">
              <w:rPr>
                <w:rFonts w:ascii="Times New Roman" w:hAnsi="Times New Roman"/>
                <w:sz w:val="26"/>
                <w:szCs w:val="26"/>
              </w:rPr>
              <w:br/>
              <w:t>- Viện Kiểm sát nhân dân tối cao;</w:t>
            </w:r>
            <w:r w:rsidRPr="00A44F32">
              <w:rPr>
                <w:rFonts w:ascii="Times New Roman" w:hAnsi="Times New Roman"/>
                <w:sz w:val="26"/>
                <w:szCs w:val="26"/>
              </w:rPr>
              <w:br/>
              <w:t>- UB Giám sát tài chính QG;</w:t>
            </w:r>
            <w:r w:rsidRPr="00A44F32">
              <w:rPr>
                <w:rFonts w:ascii="Times New Roman" w:hAnsi="Times New Roman"/>
                <w:sz w:val="26"/>
                <w:szCs w:val="26"/>
              </w:rPr>
              <w:br/>
              <w:t>- Kiểm toán Nhà nước;</w:t>
            </w:r>
            <w:r w:rsidRPr="00A44F32">
              <w:rPr>
                <w:rFonts w:ascii="Times New Roman" w:hAnsi="Times New Roman"/>
                <w:sz w:val="26"/>
                <w:szCs w:val="26"/>
              </w:rPr>
              <w:br/>
              <w:t>- Ngân hàng Chính sách xã hội;</w:t>
            </w:r>
            <w:r w:rsidRPr="00A44F32">
              <w:rPr>
                <w:rFonts w:ascii="Times New Roman" w:hAnsi="Times New Roman"/>
                <w:sz w:val="26"/>
                <w:szCs w:val="26"/>
              </w:rPr>
              <w:br/>
              <w:t>- Ngân hàng Phát triển Việt Nam;</w:t>
            </w:r>
            <w:r w:rsidRPr="00A44F32">
              <w:rPr>
                <w:rFonts w:ascii="Times New Roman" w:hAnsi="Times New Roman"/>
                <w:sz w:val="26"/>
                <w:szCs w:val="26"/>
              </w:rPr>
              <w:br/>
              <w:t>- UBTW Mặt trận Tổ quốc Việt Nam;</w:t>
            </w:r>
            <w:r w:rsidRPr="00A44F32">
              <w:rPr>
                <w:rFonts w:ascii="Times New Roman" w:hAnsi="Times New Roman"/>
                <w:sz w:val="26"/>
                <w:szCs w:val="26"/>
              </w:rPr>
              <w:br/>
              <w:t>- Cơ quan Trung ương của các đoàn thể;</w:t>
            </w:r>
            <w:r w:rsidRPr="00A44F32">
              <w:rPr>
                <w:rFonts w:ascii="Times New Roman" w:hAnsi="Times New Roman"/>
                <w:sz w:val="26"/>
                <w:szCs w:val="26"/>
              </w:rPr>
              <w:br/>
              <w:t xml:space="preserve">- VPCP: BTCN, các PCN, Trợ lý TTCP, TGĐ Cổng TTĐT, các Vụ, Cục, </w:t>
            </w:r>
            <w:r w:rsidRPr="00A44F32">
              <w:rPr>
                <w:rFonts w:ascii="Times New Roman" w:hAnsi="Times New Roman"/>
                <w:sz w:val="26"/>
                <w:szCs w:val="26"/>
                <w:shd w:val="solid" w:color="FFFFFF" w:fill="auto"/>
              </w:rPr>
              <w:t>đơn vị</w:t>
            </w:r>
            <w:r w:rsidRPr="00A44F32">
              <w:rPr>
                <w:rFonts w:ascii="Times New Roman" w:hAnsi="Times New Roman"/>
                <w:sz w:val="26"/>
                <w:szCs w:val="26"/>
              </w:rPr>
              <w:t xml:space="preserve"> trực thuộc, Công báo;</w:t>
            </w:r>
            <w:r w:rsidRPr="00A44F32">
              <w:rPr>
                <w:rFonts w:ascii="Times New Roman" w:hAnsi="Times New Roman"/>
                <w:sz w:val="26"/>
                <w:szCs w:val="26"/>
              </w:rPr>
              <w:br/>
              <w:t>- Lưu: VT, KTTH (3b).KH</w:t>
            </w:r>
          </w:p>
        </w:tc>
        <w:tc>
          <w:tcPr>
            <w:tcW w:w="4681" w:type="dxa"/>
            <w:tcBorders>
              <w:top w:val="nil"/>
              <w:left w:val="nil"/>
              <w:bottom w:val="nil"/>
              <w:right w:val="nil"/>
              <w:tl2br w:val="nil"/>
              <w:tr2bl w:val="nil"/>
            </w:tcBorders>
            <w:shd w:val="clear" w:color="auto" w:fill="auto"/>
            <w:tcMar>
              <w:top w:w="0" w:type="dxa"/>
              <w:left w:w="108" w:type="dxa"/>
              <w:bottom w:w="0" w:type="dxa"/>
              <w:right w:w="108" w:type="dxa"/>
            </w:tcMar>
          </w:tcPr>
          <w:p w:rsidR="00454C17" w:rsidRPr="00A44F32" w:rsidRDefault="00454C17" w:rsidP="00FA2439">
            <w:pPr>
              <w:spacing w:before="120" w:after="0" w:line="360" w:lineRule="auto"/>
              <w:jc w:val="both"/>
              <w:rPr>
                <w:rFonts w:ascii="Times New Roman" w:hAnsi="Times New Roman"/>
                <w:sz w:val="26"/>
                <w:szCs w:val="26"/>
              </w:rPr>
            </w:pPr>
            <w:r w:rsidRPr="00A44F32">
              <w:rPr>
                <w:rFonts w:ascii="Times New Roman" w:hAnsi="Times New Roman"/>
                <w:b/>
                <w:bCs/>
                <w:sz w:val="26"/>
                <w:szCs w:val="26"/>
              </w:rPr>
              <w:t>TM. CHÍNH PHỦ</w:t>
            </w:r>
            <w:r w:rsidRPr="00A44F32">
              <w:rPr>
                <w:rFonts w:ascii="Times New Roman" w:hAnsi="Times New Roman"/>
                <w:b/>
                <w:bCs/>
                <w:sz w:val="26"/>
                <w:szCs w:val="26"/>
              </w:rPr>
              <w:br/>
              <w:t>THỦ TƯỚNG</w:t>
            </w:r>
            <w:r w:rsidRPr="00A44F32">
              <w:rPr>
                <w:rFonts w:ascii="Times New Roman" w:hAnsi="Times New Roman"/>
                <w:b/>
                <w:bCs/>
                <w:sz w:val="26"/>
                <w:szCs w:val="26"/>
              </w:rPr>
              <w:br/>
            </w:r>
            <w:r w:rsidRPr="00A44F32">
              <w:rPr>
                <w:rFonts w:ascii="Times New Roman" w:hAnsi="Times New Roman"/>
                <w:b/>
                <w:bCs/>
                <w:sz w:val="26"/>
                <w:szCs w:val="26"/>
              </w:rPr>
              <w:br/>
            </w:r>
            <w:r w:rsidRPr="00A44F32">
              <w:rPr>
                <w:rFonts w:ascii="Times New Roman" w:hAnsi="Times New Roman"/>
                <w:b/>
                <w:bCs/>
                <w:sz w:val="26"/>
                <w:szCs w:val="26"/>
              </w:rPr>
              <w:br/>
            </w:r>
            <w:r w:rsidRPr="00A44F32">
              <w:rPr>
                <w:rFonts w:ascii="Times New Roman" w:hAnsi="Times New Roman"/>
                <w:b/>
                <w:bCs/>
                <w:sz w:val="26"/>
                <w:szCs w:val="26"/>
              </w:rPr>
              <w:br/>
            </w:r>
            <w:r w:rsidRPr="00A44F32">
              <w:rPr>
                <w:rFonts w:ascii="Times New Roman" w:hAnsi="Times New Roman"/>
                <w:b/>
                <w:bCs/>
                <w:sz w:val="26"/>
                <w:szCs w:val="26"/>
              </w:rPr>
              <w:br/>
              <w:t>Nguyễn Tấn Dũng</w:t>
            </w:r>
          </w:p>
        </w:tc>
      </w:tr>
    </w:tbl>
    <w:p w:rsidR="00454C17" w:rsidRPr="00A44F32" w:rsidRDefault="00454C17" w:rsidP="00454C17">
      <w:pPr>
        <w:spacing w:before="120" w:after="280" w:afterAutospacing="1" w:line="360" w:lineRule="auto"/>
        <w:jc w:val="both"/>
        <w:rPr>
          <w:rFonts w:ascii="Times New Roman" w:hAnsi="Times New Roman"/>
          <w:sz w:val="26"/>
          <w:szCs w:val="26"/>
        </w:rPr>
      </w:pPr>
      <w:r w:rsidRPr="00A44F32">
        <w:rPr>
          <w:rFonts w:ascii="Times New Roman" w:hAnsi="Times New Roman"/>
          <w:sz w:val="26"/>
          <w:szCs w:val="26"/>
        </w:rPr>
        <w:t> </w:t>
      </w:r>
    </w:p>
    <w:p w:rsidR="00454C17" w:rsidRPr="00A44F32" w:rsidRDefault="00454C17" w:rsidP="00454C17">
      <w:pPr>
        <w:spacing w:line="360" w:lineRule="auto"/>
        <w:jc w:val="both"/>
        <w:rPr>
          <w:rFonts w:ascii="Times New Roman" w:hAnsi="Times New Roman"/>
          <w:sz w:val="26"/>
          <w:szCs w:val="26"/>
        </w:rPr>
      </w:pPr>
    </w:p>
    <w:p w:rsidR="00942033" w:rsidRDefault="00942033"/>
    <w:sectPr w:rsidR="00942033" w:rsidSect="00A44F32">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7C" w:rsidRDefault="009C357C" w:rsidP="009C357C">
      <w:pPr>
        <w:spacing w:after="0" w:line="240" w:lineRule="auto"/>
      </w:pPr>
      <w:r>
        <w:separator/>
      </w:r>
    </w:p>
  </w:endnote>
  <w:endnote w:type="continuationSeparator" w:id="0">
    <w:p w:rsidR="009C357C" w:rsidRDefault="009C357C" w:rsidP="009C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9E" w:rsidRDefault="00E92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5F" w:rsidRPr="004D786F" w:rsidRDefault="004D786F" w:rsidP="004D786F">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9E" w:rsidRDefault="00E92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7C" w:rsidRDefault="009C357C" w:rsidP="009C357C">
      <w:pPr>
        <w:spacing w:after="0" w:line="240" w:lineRule="auto"/>
      </w:pPr>
      <w:r>
        <w:separator/>
      </w:r>
    </w:p>
  </w:footnote>
  <w:footnote w:type="continuationSeparator" w:id="0">
    <w:p w:rsidR="009C357C" w:rsidRDefault="009C357C" w:rsidP="009C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9E" w:rsidRDefault="00E923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5F" w:rsidRPr="004D786F" w:rsidRDefault="004D786F" w:rsidP="004D786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39E" w:rsidRDefault="00E92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454C17"/>
    <w:rsid w:val="001A78FD"/>
    <w:rsid w:val="00373E10"/>
    <w:rsid w:val="00454C17"/>
    <w:rsid w:val="004D786F"/>
    <w:rsid w:val="00942033"/>
    <w:rsid w:val="009C357C"/>
    <w:rsid w:val="00B03FD8"/>
    <w:rsid w:val="00CC5111"/>
    <w:rsid w:val="00E634EF"/>
    <w:rsid w:val="00E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4C17"/>
    <w:rPr>
      <w:color w:val="0000FF"/>
      <w:u w:val="single"/>
    </w:rPr>
  </w:style>
  <w:style w:type="character" w:styleId="Strong">
    <w:name w:val="Strong"/>
    <w:basedOn w:val="DefaultParagraphFont"/>
    <w:qFormat/>
    <w:rsid w:val="00454C17"/>
    <w:rPr>
      <w:b/>
      <w:bCs/>
    </w:rPr>
  </w:style>
  <w:style w:type="character" w:customStyle="1" w:styleId="HeaderChar">
    <w:name w:val="Header Char"/>
    <w:basedOn w:val="DefaultParagraphFont"/>
    <w:link w:val="Header1"/>
    <w:rsid w:val="00454C17"/>
    <w:rPr>
      <w:rFonts w:ascii="Calibri" w:eastAsia="Calibri" w:hAnsi="Calibri" w:cs="Times New Roman"/>
    </w:rPr>
  </w:style>
  <w:style w:type="character" w:customStyle="1" w:styleId="FooterChar">
    <w:name w:val="Footer Char"/>
    <w:basedOn w:val="DefaultParagraphFont"/>
    <w:link w:val="Footer1"/>
    <w:rsid w:val="00454C17"/>
    <w:rPr>
      <w:rFonts w:ascii="Calibri" w:eastAsia="Calibri" w:hAnsi="Calibri" w:cs="Times New Roman"/>
    </w:rPr>
  </w:style>
  <w:style w:type="paragraph" w:customStyle="1" w:styleId="NormalWeb858D7CFB-ED40-4347-BF05-701D383B685F858D7CFB-ED40-4347-BF05-701D383B685F">
    <w:name w:val="Normal (Web){858D7CFB-ED40-4347-BF05-701D383B685F}{858D7CFB-ED40-4347-BF05-701D383B685F}"/>
    <w:basedOn w:val="Normal"/>
    <w:rsid w:val="00454C17"/>
    <w:pPr>
      <w:spacing w:before="100" w:beforeAutospacing="1" w:after="100" w:afterAutospacing="1" w:line="240" w:lineRule="auto"/>
    </w:pPr>
    <w:rPr>
      <w:rFonts w:ascii="Times New Roman" w:eastAsia="Times New Roman" w:hAnsi="Times New Roman"/>
      <w:sz w:val="24"/>
      <w:szCs w:val="24"/>
    </w:rPr>
  </w:style>
  <w:style w:type="paragraph" w:customStyle="1" w:styleId="Header1">
    <w:name w:val="Header1"/>
    <w:basedOn w:val="Normal"/>
    <w:link w:val="HeaderChar"/>
    <w:rsid w:val="00454C17"/>
    <w:pPr>
      <w:tabs>
        <w:tab w:val="center" w:pos="4680"/>
        <w:tab w:val="right" w:pos="9360"/>
      </w:tabs>
      <w:spacing w:after="0" w:line="240" w:lineRule="auto"/>
    </w:pPr>
  </w:style>
  <w:style w:type="paragraph" w:customStyle="1" w:styleId="Footer1">
    <w:name w:val="Footer1"/>
    <w:basedOn w:val="Normal"/>
    <w:link w:val="FooterChar"/>
    <w:rsid w:val="00454C17"/>
    <w:pPr>
      <w:tabs>
        <w:tab w:val="center" w:pos="4680"/>
        <w:tab w:val="right" w:pos="9360"/>
      </w:tabs>
      <w:spacing w:after="0" w:line="240" w:lineRule="auto"/>
    </w:pPr>
  </w:style>
  <w:style w:type="paragraph" w:styleId="Header">
    <w:name w:val="header"/>
    <w:basedOn w:val="Normal"/>
    <w:link w:val="HeaderChar1"/>
    <w:uiPriority w:val="99"/>
    <w:semiHidden/>
    <w:unhideWhenUsed/>
    <w:rsid w:val="00E9239E"/>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E9239E"/>
    <w:rPr>
      <w:rFonts w:ascii="Calibri" w:eastAsia="Calibri" w:hAnsi="Calibri" w:cs="Times New Roman"/>
    </w:rPr>
  </w:style>
  <w:style w:type="paragraph" w:styleId="Footer">
    <w:name w:val="footer"/>
    <w:basedOn w:val="Normal"/>
    <w:link w:val="FooterChar1"/>
    <w:uiPriority w:val="99"/>
    <w:semiHidden/>
    <w:unhideWhenUsed/>
    <w:rsid w:val="00E9239E"/>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E9239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2325</Words>
  <Characters>13256</Characters>
  <Application>Microsoft Office Word</Application>
  <DocSecurity>0</DocSecurity>
  <Lines>110</Lines>
  <Paragraphs>31</Paragraphs>
  <ScaleCrop>false</ScaleCrop>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ChungDuc</dc:creator>
  <cp:lastModifiedBy>LMK</cp:lastModifiedBy>
  <cp:revision>6</cp:revision>
  <dcterms:created xsi:type="dcterms:W3CDTF">2015-06-06T16:03:00Z</dcterms:created>
  <dcterms:modified xsi:type="dcterms:W3CDTF">2020-05-18T06:09:00Z</dcterms:modified>
</cp:coreProperties>
</file>