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VIỆT </w:t>
            </w:r>
            <w:r>
              <w:rPr>
                <w:b/>
              </w:rP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504/QĐ-NHNN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w:t>
            </w:r>
            <w:r>
              <w:rPr>
                <w:b/>
              </w:rP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3 năm 2008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ban hành một số quy định liên quan đến giao dịch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của các tổ chưc tín dụng được phép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THỐNG ĐỐC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hàng Nhà nước Việt Nam số </w:t>
      </w:r>
      <w:hyperlink r:id="rId3" w:history="1">
        <w:r>
          <w:rPr>
            <w:rStyle w:val="Hyperlink"/>
            <w:i/>
          </w:rPr>
          <w:t xml:space="preserve">01/1997/QH10 </w:t>
        </w:r>
      </w:hyperlink>
      <w:r>
        <w:rPr>
          <w:i/>
        </w:rPr>
        <w:t xml:space="preserve"> ngày 12/12/1997, Luật sửa đổi, bổ sung một số điều của Luật Ngân hàng Nhà nước Việt Nam số 10/2003/QH11 ngày 17/6/2003;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các Tổ chức tín dụng số </w:t>
      </w:r>
      <w:hyperlink r:id="rId4" w:history="1">
        <w:r>
          <w:rPr>
            <w:rStyle w:val="Hyperlink"/>
            <w:i/>
          </w:rPr>
          <w:t xml:space="preserve">02/1997/QH10 </w:t>
        </w:r>
      </w:hyperlink>
      <w:r>
        <w:rPr>
          <w:i/>
        </w:rPr>
        <w:t xml:space="preserve"> ngày 12/12/1997; Luật sửa đổi, bổ sung một số điều của Luật các Tổ chức tín dụng số 20/2004/QH11 ngày 15/6/2004;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52/2003/NĐ-CP </w:t>
        </w:r>
      </w:hyperlink>
      <w:r>
        <w:rPr>
          <w:i/>
        </w:rPr>
        <w:t xml:space="preserve"> ngày</w:t>
      </w:r>
      <w:r>
        <w:rPr>
          <w:i/>
        </w:rPr>
        <w:t xml:space="preserve">19/05/2003</w:t>
      </w:r>
      <w:r>
        <w:rPr>
          <w:i/>
        </w:rPr>
        <w:t xml:space="preserve"> của Chính phủ quy định chức năng, nhiệm vụ, quyền hạn và cơ cấu tổ chức của Ngân hàng Nhà nước Việt </w:t>
      </w:r>
      <w:r>
        <w:rPr>
          <w:i/>
        </w:rPr>
        <w:t xml:space="preserve">Nam</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Tổng Giám đốc (Giám đốc) các tổ chức tín dụng được phép hoạt động ngoại hối ấn định tỷ giá mua, tỷ giá bán giao ngay (SPOT) của Đồng Việt </w:t>
      </w:r>
      <w:r>
        <w:t xml:space="preserve">Nam</w:t>
      </w:r>
      <w:r>
        <w:t xml:space="preserve"> với các ngoại tệ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Đối với Đô la Mỹ: Không được vượt quá biên độ ±1% (một phần trăm) so với tỷ giá bình quân trên thị trường ngoại tệ liên Ngân hàng áp dụng cho ngày giao dịch do Ngân hàng Nhà nước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Đối với các ngoại tệ khác: Do Tổng Giám đốc (Giám đốc) các tổ chức tín dụng được phép hoạt động ngoại hối ấn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Chênh lệch giữa tỷ giá mua và tỷ giá bán: Do Tổng Giám đốc (Giám đốc) các tổ chức tín dụng được phép hoạt động ngoại hối ấn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này có hiệu lực kể từ ngày 10/3/2008 và thay thế Quyết định số 3039/QĐ-NHNN ngày 24/12/2007 của Thống đốc Ngân hàng Nhà nước về việc ban hành một số quy định liên quan đến giao dịch ngoại tệ của các tổ chức tín dụng được phép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Vụ trưởng Vụ Quản lý Ngoại hối, Thủ trưởng các đơn vị có liên quan thuộc Ngân hàng Nhà nước Trung ương, Giám đốc Chi nhánh Ngân hàng Nhà nước tỉnh, thành phố trực thuộc Trung ương, Chủ tịch Hội đồng quản trị và Tổng Giám đốc (Giám đốc) các Tổ chức tín dụng được phép hoạt động ngoại hối chịu trách nhiệm thi hành Quyết định này./.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lãnh đạo NHNN;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(VP, QLNH).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Văn Giàu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01-1997-qh10.aspx" TargetMode="External" /><Relationship Id="rId4" Type="http://schemas.openxmlformats.org/officeDocument/2006/relationships/hyperlink" Target="/luat-02-1997-qh10.aspx" TargetMode="External" /><Relationship Id="rId5" Type="http://schemas.openxmlformats.org/officeDocument/2006/relationships/hyperlink" Target="/nghi-dinh-so-52-2003-nd-cp-cua-chinh-phu---nghi-dinh-quy-dinh-chuc-nang--nhiem-vu--quyen-han-va-co-cau-to-chuc-cua-ngan-hang-nha-nuoc-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2022-06-21T16:25:03Z</dcterms:created>
  <dcterms:modified xsi:type="dcterms:W3CDTF">2022-06-21T16:25:03Z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2022-06-21T16:25:03Z</dcterms:created>
  <dcterms:modified xsi:type="dcterms:W3CDTF">2022-06-21T16:25:03Z</dcterms:modified>
</cp:coreProperties>
</file>