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KIỂM TOÁN NHÀ NƯỚC</w:t>
            </w:r>
          </w:p>
          <w:p>
            <w:pPr>
              <w:pStyle w:val="Normal(Web)"/>
              <w:divId w:val="2"/>
              <w:jc w:val="center"/>
              <w:rPr>
                <w:vanish w:val="0"/>
              </w:rPr>
            </w:pPr>
            <w:r>
              <w:t xml:space="preserve">Số: 02/2011/QĐ-KTNN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7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định niêm phong tài liệu, kiểm tra tài khoản của đơn vị được kiểm toán và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 nhân có liên quan trong hoạt động kiểm toán của Kiểm toán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TỔNG KIỂM TOÁN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Kiểm toán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Ban hành văn bản quy phạm pháp luật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 trình kiểm toán của Kiểm toán Nhà nước ban hành kèm theo Quyết định số 04/2007/QĐ-KTNN ngày 02/8/2007 của Tổng Kiểm toán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Vụ trưởng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Ban hành kèm theo Quyết định này Quy định niêm phong tài liệu, kiểm tra tài khoản của đơn vị được kiểm toán và cá nhân có liên quan trong hoạt động kiểm toán của Kiểm toán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Quyết định này có hiệu lực thi hành sau 45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t xml:space="preserve">Thủ trưởng các đơn vị trực thuộc Kiểm toán Nhà nước, các Đoàn kiểm toán Nhà nước, các tổ chức, cá nhân có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Kiểm toán Nhà nước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Vương Đình Huệ</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2022-06-22T11:34:33Z</dcterms:created>
  <dcterms:modified xsi:type="dcterms:W3CDTF">2022-06-22T11:34:33Z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2022-06-22T11:34:33Z</dcterms:created>
  <dcterms:modified xsi:type="dcterms:W3CDTF">2022-06-22T11:34:33Z</dcterms:modified>
</cp:coreProperties>
</file>