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THANH HOÁ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4238/2007/QĐ-UBND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Hoá, ngày 31 tháng 12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GIÁ CÁC LOẠI ĐẤT TRÊN ĐỊA BÀN TỈNH THANH HOÁ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 11 năm 2003;</w:t>
      </w:r>
      <w:r>
        <w:rPr>
          <w:i/>
        </w:rPr>
        <w:br/>
      </w:r>
      <w:r>
        <w:rPr>
          <w:i/>
        </w:rPr>
        <w:t xml:space="preserve">Căn cứ Luật đất đai ban hành ngày 10 tháng 12 năm 2003;</w:t>
      </w:r>
      <w:r>
        <w:rPr>
          <w:i/>
        </w:rPr>
        <w:br/>
      </w:r>
      <w:r>
        <w:rPr>
          <w:i/>
        </w:rPr>
        <w:t xml:space="preserve">Căn cứ Nghị định số </w:t>
      </w:r>
      <w:hyperlink r:id="rId3" w:history="1">
        <w:r>
          <w:rPr>
            <w:rStyle w:val="Hyperlink"/>
            <w:i/>
          </w:rPr>
          <w:t xml:space="preserve">188/2004/NĐ-CP </w:t>
        </w:r>
      </w:hyperlink>
      <w:r>
        <w:rPr>
          <w:i/>
        </w:rPr>
        <w:t xml:space="preserve"> ngày 16 tháng11 năm 2004 và Nghị định số 123/2007/NĐ-CP ngày 27/7/2007 của Chính phủ sửađổi, bổ sung một số điều của Nghị định số 188/2004/NĐ-CP ngày 16 tháng 11 năm20 về phương pháp xác định giá đất và khung giá các loại đất;</w:t>
      </w:r>
      <w:r>
        <w:rPr>
          <w:i/>
        </w:rPr>
        <w:br/>
      </w:r>
      <w:r>
        <w:rPr>
          <w:i/>
        </w:rPr>
        <w:t xml:space="preserve">Căn cứ Nghị quyết số 82/2007/NQ-HĐND ngày29/12/2007 của HĐND tỉnh Thanh Hoá, Khoá XV, Kỳ họp thứ 9 về việc giá cácloại đất năm 2008 trên địa bàn tỉnh Thanh Hoá,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Quy định giá các loại đất năm 2008 trên địa bàntỉnh Thanh Hoá được áp dụng như giá các loại đất năm 2007 đã được UBND tỉnhThanh Hoá quy định tại Quyết định số 3931/2006/QĐ-UBND ngày 31/12/2006.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chính,Sở Xây dựng, Sở Tài nguyên &amp; Môi trường; Chủ tịch UBND các huyện, thị xã,thành phố theo chức năng nhiệm vụ và thẩm quyền của mỗi ngành, địa phương; căncứ quy định của Quyết định này và các quy định hiện hành của Nhà nước; triểnkhai thực hiện, giải quyết kịp thời những vướng mắc cho các địa phương, các tổchức và cá nhân hoặc đề xuất trình UBND tỉnh giải quyết theo thẩm quyền; ràsoát lại giá đất vùng giáp ranh, quy định lại các loại đường, vị trí đất hoặctrình UBND tỉnh giải quyết theo thẩm quyền cho phù hợp với thực tế; tổng hợpbáo cáo tình hình triển khai thực hiện về UBND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UBNDtỉnh, Giám đốc các Sở: Tài chính, Tài nguyên &amp; Môi trường, Xây dựng; Cụctrưởng Cục thuế, Chủ tịch UBND huyện thị xã, thành phố, Thủ trưởng các tổ chức,cá nhân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3, QĐ;</w:t>
            </w:r>
            <w:r>
              <w:rPr/>
              <w:br/>
            </w:r>
            <w:r>
              <w:t xml:space="preserve">- TT Tỉnh uỷ (báo cáo); </w:t>
            </w:r>
            <w:r>
              <w:rPr/>
              <w:br/>
            </w:r>
            <w:r>
              <w:t xml:space="preserve">- TT HĐND tỉnh (báo cáo);</w:t>
            </w:r>
            <w:r>
              <w:rPr/>
              <w:br/>
            </w:r>
            <w:r>
              <w:t xml:space="preserve">- Bộ Tài chính ( báo cáo);</w:t>
            </w:r>
            <w:r>
              <w:rPr/>
              <w:br/>
            </w:r>
            <w:r>
              <w:t xml:space="preserve">- Bộ Tư Pháp ( báo cáo)</w:t>
            </w:r>
            <w:r>
              <w:rPr/>
              <w:br/>
            </w:r>
            <w:r>
              <w:t xml:space="preserve">- Lưu: VT, KTTC.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Nguyễn Văn Lợi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2022-06-21T17:49:04Z</dcterms:created>
  <dcterms:modified xsi:type="dcterms:W3CDTF">2022-06-21T17:49:04Z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2022-06-21T17:49:04Z</dcterms:created>
  <dcterms:modified xsi:type="dcterms:W3CDTF">2022-06-21T17:49:04Z</dcterms:modified>
</cp:coreProperties>
</file>