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4B617" w14:textId="77777777" w:rsidR="00257470" w:rsidRDefault="00257470" w:rsidP="00257470">
      <w:pPr>
        <w:pStyle w:val="NormalWeb"/>
        <w:spacing w:after="90" w:afterAutospacing="0" w:line="345" w:lineRule="atLeast"/>
        <w:jc w:val="both"/>
        <w:rPr>
          <w:rFonts w:ascii="Arial" w:hAnsi="Arial" w:cs="Arial"/>
          <w:color w:val="000000"/>
          <w:sz w:val="21"/>
          <w:szCs w:val="21"/>
        </w:rPr>
      </w:pPr>
      <w:bookmarkStart w:id="0" w:name="_GoBack"/>
      <w:bookmarkEnd w:id="0"/>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52"/>
        <w:gridCol w:w="4382"/>
      </w:tblGrid>
      <w:tr w:rsidR="00257470" w14:paraId="37BDD717" w14:textId="77777777" w:rsidTr="0025747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A5BE1" w14:textId="77777777" w:rsidR="00257470" w:rsidRDefault="002574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THẨM PHÁN</w:t>
            </w:r>
            <w:r>
              <w:rPr>
                <w:rFonts w:ascii="Arial" w:hAnsi="Arial" w:cs="Arial"/>
                <w:b/>
                <w:bCs/>
                <w:color w:val="000000"/>
                <w:sz w:val="21"/>
                <w:szCs w:val="21"/>
              </w:rPr>
              <w:br/>
            </w:r>
            <w:r>
              <w:rPr>
                <w:rStyle w:val="Strong"/>
                <w:rFonts w:ascii="Arial" w:hAnsi="Arial" w:cs="Arial"/>
                <w:color w:val="000000"/>
                <w:sz w:val="21"/>
                <w:szCs w:val="21"/>
              </w:rPr>
              <w:t>TÒA ÁN 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3CA8B" w14:textId="77777777" w:rsidR="00257470" w:rsidRDefault="002574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7470" w14:paraId="10C9625F" w14:textId="77777777" w:rsidTr="0025747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167B9" w14:textId="77777777" w:rsidR="00257470" w:rsidRDefault="0025747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06/2019/NQ-HĐTP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4D9EF" w14:textId="77777777" w:rsidR="00257470" w:rsidRDefault="00257470">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01 tháng 10 năm 2019</w:t>
            </w:r>
          </w:p>
        </w:tc>
      </w:tr>
    </w:tbl>
    <w:p w14:paraId="18CF8100" w14:textId="77777777" w:rsidR="00257470" w:rsidRDefault="00257470" w:rsidP="00257470">
      <w:pPr>
        <w:pStyle w:val="NormalWeb"/>
        <w:spacing w:after="90" w:afterAutospacing="0" w:line="345" w:lineRule="atLeast"/>
        <w:jc w:val="center"/>
        <w:rPr>
          <w:rFonts w:ascii="Arial" w:eastAsia="Calibri" w:hAnsi="Arial" w:cs="Arial"/>
          <w:color w:val="000000"/>
          <w:sz w:val="21"/>
          <w:szCs w:val="21"/>
        </w:rPr>
      </w:pPr>
      <w:r>
        <w:rPr>
          <w:rStyle w:val="Strong"/>
          <w:rFonts w:ascii="Arial" w:hAnsi="Arial" w:cs="Arial"/>
          <w:color w:val="000000"/>
          <w:sz w:val="21"/>
          <w:szCs w:val="21"/>
        </w:rPr>
        <w:t>NGHỊ QUYẾT</w:t>
      </w:r>
    </w:p>
    <w:p w14:paraId="6B949019" w14:textId="77777777" w:rsidR="00257470" w:rsidRDefault="00257470" w:rsidP="002574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ÁP DỤNG MỘT SỐ QUY ĐỊNH TẠI CÁC ĐIỀU 141, 142, 143, 144, 145, 146, 147 CỦA BỘ LUẬT HÌNH SỰ VÀ VIỆC XÉT XỬ VỤ ÁN XÂM HẠI TÌNH DỤC NGƯỜI DƯỚI 18 TUỔI</w:t>
      </w:r>
    </w:p>
    <w:p w14:paraId="3D690AA4" w14:textId="77777777" w:rsidR="00257470" w:rsidRDefault="00257470" w:rsidP="002574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THẨM PHÁN TÒA ÁN NHÂN DÂN TỐI CAO</w:t>
      </w:r>
    </w:p>
    <w:p w14:paraId="01C9FD4A"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Tòa án nhân dân ngày 24 tháng 11 năm 2014;</w:t>
      </w:r>
    </w:p>
    <w:p w14:paraId="3D06ACD7"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áp dụng đúng, thống nhất một số quy định tại các điều 141, 142, 143, 144, 145, 146, 147 của Bộ luật Hình sự và việc xét xử vụ án xâm hại tình dục người dưới 18 tuổi;</w:t>
      </w:r>
    </w:p>
    <w:p w14:paraId="44218D59"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Sau khi có ý kiến của Viện trưởng Viện kiểm sát nhân dân tối cao và Bộ trưởng Bộ Tư pháp,</w:t>
      </w:r>
    </w:p>
    <w:p w14:paraId="5638669F" w14:textId="77777777" w:rsidR="00257470" w:rsidRDefault="00257470" w:rsidP="002574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4CC5D30E" w14:textId="77777777" w:rsidR="00257470" w:rsidRDefault="00257470" w:rsidP="00257470">
      <w:pPr>
        <w:pStyle w:val="Heading2"/>
        <w:spacing w:after="75" w:afterAutospacing="0" w:line="375" w:lineRule="atLeast"/>
        <w:rPr>
          <w:rFonts w:ascii="Arial" w:eastAsia="Times New Roman" w:hAnsi="Arial" w:cs="Arial"/>
          <w:color w:val="000000"/>
          <w:sz w:val="23"/>
          <w:szCs w:val="23"/>
        </w:rPr>
      </w:pPr>
      <w:r>
        <w:rPr>
          <w:rStyle w:val="Strong"/>
          <w:rFonts w:ascii="Arial" w:eastAsia="Times New Roman" w:hAnsi="Arial" w:cs="Arial"/>
          <w:b/>
          <w:bCs/>
          <w:color w:val="000000"/>
          <w:sz w:val="21"/>
          <w:szCs w:val="21"/>
        </w:rPr>
        <w:t>Điều 1. Phạm vi điều chỉnh</w:t>
      </w:r>
    </w:p>
    <w:p w14:paraId="5C3E8C23" w14:textId="77777777" w:rsidR="00257470" w:rsidRDefault="00257470" w:rsidP="00257470">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Nghị quyết này hướng dẫn áp dụng một số quy định tại các điều 141, 142, 143, 144, 145, 146, 147 của Bộ luật Hình sự, hướng dẫn giải quyết các vướng mắc trong thực tiễn xét xử và việc tổ chức xét xử vụ án xâm hại tình dục người dưới 18 tuổi.</w:t>
      </w:r>
    </w:p>
    <w:p w14:paraId="66930290" w14:textId="77777777" w:rsidR="00257470" w:rsidRDefault="00257470" w:rsidP="00257470">
      <w:pPr>
        <w:pStyle w:val="Heading2"/>
        <w:spacing w:after="75" w:afterAutospacing="0" w:line="375" w:lineRule="atLeast"/>
        <w:rPr>
          <w:rFonts w:ascii="Arial" w:eastAsia="Times New Roman" w:hAnsi="Arial" w:cs="Arial"/>
          <w:color w:val="000000"/>
          <w:sz w:val="23"/>
          <w:szCs w:val="23"/>
        </w:rPr>
      </w:pPr>
      <w:r>
        <w:rPr>
          <w:rStyle w:val="Strong"/>
          <w:rFonts w:ascii="Arial" w:eastAsia="Times New Roman" w:hAnsi="Arial" w:cs="Arial"/>
          <w:b/>
          <w:bCs/>
          <w:color w:val="000000"/>
          <w:sz w:val="21"/>
          <w:szCs w:val="21"/>
        </w:rPr>
        <w:t>Điều 2. Giải thích từ ngữ</w:t>
      </w:r>
    </w:p>
    <w:p w14:paraId="30D64513" w14:textId="77777777" w:rsidR="00257470" w:rsidRDefault="00257470" w:rsidP="00257470">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Xâm hại tình dục người dưới 16 tuổi </w:t>
      </w:r>
      <w:r>
        <w:rPr>
          <w:rFonts w:ascii="Arial" w:hAnsi="Arial" w:cs="Arial"/>
          <w:color w:val="000000"/>
          <w:sz w:val="21"/>
          <w:szCs w:val="21"/>
        </w:rPr>
        <w:t>là việc dùng vũ lực, đe dọa dùng vũ lực, ép buộc, lôi kéo, dụ dỗ người dưới 16 tuổi tham gia vào các hành vi liên quan đến tình dục, bao gồm hiếp dâm, cưỡng dâm, giao cấu, dâm ô với người dưới 16 tuổi và sử dụng người dưới 16 tuổi vào mục đích mại dâm, khiêu dâm dưới mọi hình thức (ví dụ: hoạt động xâm hại tình dục được thực hiện do đồng thuận với người dưới 13 tuổi); do cưỡng bức, do hứa hẹn các lợi ích vật chất (tiền, tài sản) hay các lợi ích phi vật chất (ví dụ: cho điểm cao, đánh giá tốt, tạo cơ hội tiến bộ...).</w:t>
      </w:r>
    </w:p>
    <w:p w14:paraId="2724BFEC"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Bộ phận sinh dục </w:t>
      </w:r>
      <w:r>
        <w:rPr>
          <w:rFonts w:ascii="Arial" w:hAnsi="Arial" w:cs="Arial"/>
          <w:color w:val="000000"/>
          <w:sz w:val="21"/>
          <w:szCs w:val="21"/>
        </w:rPr>
        <w:t>bao gồm bộ phận sinh dục nam và bộ phận sinh dục nữ. Bộ phận sinh dục nam là dương vật; bộ phận sinh dục nữ bao gồm âm hộ, âm đạo.</w:t>
      </w:r>
    </w:p>
    <w:p w14:paraId="47E3884A"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Bộ phận nhạy cảm </w:t>
      </w:r>
      <w:r>
        <w:rPr>
          <w:rFonts w:ascii="Arial" w:hAnsi="Arial" w:cs="Arial"/>
          <w:color w:val="000000"/>
          <w:sz w:val="21"/>
          <w:szCs w:val="21"/>
        </w:rPr>
        <w:t>bao gồm bìu, mu, hậu môn, háng, đùi, mông, vú.</w:t>
      </w:r>
    </w:p>
    <w:p w14:paraId="7EF06AA0"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Bộ phận khác trên cơ thể </w:t>
      </w:r>
      <w:r>
        <w:rPr>
          <w:rFonts w:ascii="Arial" w:hAnsi="Arial" w:cs="Arial"/>
          <w:color w:val="000000"/>
          <w:sz w:val="21"/>
          <w:szCs w:val="21"/>
        </w:rPr>
        <w:t>là bất kỳ bộ phận nào trên cơ thể không phải là bộ phận sinh dục và bộ phận nhạy cảm (ví dụ: tay, chân, miệng, lưỡi, mũi, gáy, cổ, bụng...).</w:t>
      </w:r>
    </w:p>
    <w:p w14:paraId="683783F8"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Dụng cụ tình dục </w:t>
      </w:r>
      <w:r>
        <w:rPr>
          <w:rFonts w:ascii="Arial" w:hAnsi="Arial" w:cs="Arial"/>
          <w:color w:val="000000"/>
          <w:sz w:val="21"/>
          <w:szCs w:val="21"/>
        </w:rPr>
        <w:t>là những dụng cụ được sản xuất chuyên dùng cho hoạt động tình dục (ví dụ: dương vật giả, âm hộ giả, âm đạo giả...) hoặc những đồ vật khác nhưng được sử dụng cho hoạt động tình dục.</w:t>
      </w:r>
    </w:p>
    <w:p w14:paraId="34CEA712" w14:textId="77777777" w:rsidR="00257470" w:rsidRDefault="00257470" w:rsidP="00257470">
      <w:pPr>
        <w:pStyle w:val="Heading2"/>
        <w:spacing w:after="75" w:afterAutospacing="0" w:line="375" w:lineRule="atLeast"/>
        <w:rPr>
          <w:rFonts w:ascii="Arial" w:eastAsia="Times New Roman" w:hAnsi="Arial" w:cs="Arial"/>
          <w:color w:val="000000"/>
          <w:sz w:val="23"/>
          <w:szCs w:val="23"/>
        </w:rPr>
      </w:pPr>
      <w:r>
        <w:rPr>
          <w:rStyle w:val="Strong"/>
          <w:rFonts w:ascii="Arial" w:eastAsia="Times New Roman" w:hAnsi="Arial" w:cs="Arial"/>
          <w:b/>
          <w:bCs/>
          <w:color w:val="000000"/>
          <w:sz w:val="21"/>
          <w:szCs w:val="21"/>
        </w:rPr>
        <w:t>Điều 3. Về một số tình tiết định tội</w:t>
      </w:r>
    </w:p>
    <w:p w14:paraId="76EC3F8B" w14:textId="77777777" w:rsidR="00257470" w:rsidRDefault="00257470" w:rsidP="00257470">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w:t>
      </w:r>
      <w:r>
        <w:rPr>
          <w:rStyle w:val="Strong"/>
          <w:rFonts w:ascii="Arial" w:hAnsi="Arial" w:cs="Arial"/>
          <w:i/>
          <w:iCs/>
          <w:color w:val="000000"/>
          <w:sz w:val="21"/>
          <w:szCs w:val="21"/>
        </w:rPr>
        <w:t>Giao cấu </w:t>
      </w:r>
      <w:r>
        <w:rPr>
          <w:rFonts w:ascii="Arial" w:hAnsi="Arial" w:cs="Arial"/>
          <w:color w:val="000000"/>
          <w:sz w:val="21"/>
          <w:szCs w:val="21"/>
        </w:rPr>
        <w:t>quy định tại khoản 1 Điều 141, khoản 1 Điều 142, khoản 1 Điều 143, khoản 1 Điều 144 và khoản 1 Điều 145 của Bộ luật Hình sự là hành vi xâm nhập của bộ phận sinh dục nam vào bộ phận sinh dục nữ, với bất kỳ mức độ xâm nhập nào.</w:t>
      </w:r>
    </w:p>
    <w:p w14:paraId="604EA7D0"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cấu với người dưới 10 tuổi được xác định là đã thực hiện không phụ thuộc vào việc đã xâm nhập hay chưa xâm nhập.</w:t>
      </w:r>
    </w:p>
    <w:p w14:paraId="4488BB31"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b/>
          <w:bCs/>
          <w:color w:val="000000"/>
          <w:sz w:val="21"/>
          <w:szCs w:val="21"/>
        </w:rPr>
        <w:t>Hành vi quan hệ tình dục khác </w:t>
      </w:r>
      <w:r>
        <w:rPr>
          <w:rFonts w:ascii="Arial" w:hAnsi="Arial" w:cs="Arial"/>
          <w:color w:val="000000"/>
          <w:sz w:val="21"/>
          <w:szCs w:val="21"/>
        </w:rPr>
        <w:t>quy định tại khoản 1 Điều 141, khoản 1 Điều 142, khoản 1 Điều 143, khoản 1 Điều 144 và khoản 1 Điều 145 của Bộ luật Hình sự là hành vi của những người cùng giới tính hay khác giới tính sử dụng bộ phận sinh dục nam, bộ phận khác trên cơ thể (ví dụ: ngón tay, ngón chân, lưỡi...), dụng cụ tình dục xâm nhập vào bộ phận sinh dục nữ, miệng, hậu môn của người khác với bất kỳ mức độ xâm nhập nào, bao gồm một trong các hành vi sau đây:</w:t>
      </w:r>
    </w:p>
    <w:p w14:paraId="4C821E77"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bộ phận sinh dục nam xâm nhập vào miệng, hậu môn của người khác;</w:t>
      </w:r>
    </w:p>
    <w:p w14:paraId="36D7A900"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bộ phận khác trên cơ thể (ví dụ: ngón tay, ngón chân, lưỡi...), dụng cụ tình dục xâm nhập vào bộ phận sinh dục nữ, hậu môn của người khác.</w:t>
      </w:r>
    </w:p>
    <w:p w14:paraId="0A7B42D0"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b/>
          <w:bCs/>
          <w:color w:val="000000"/>
          <w:sz w:val="21"/>
          <w:szCs w:val="21"/>
        </w:rPr>
        <w:t>Dâm ô </w:t>
      </w:r>
      <w:r>
        <w:rPr>
          <w:rFonts w:ascii="Arial" w:hAnsi="Arial" w:cs="Arial"/>
          <w:color w:val="000000"/>
          <w:sz w:val="21"/>
          <w:szCs w:val="21"/>
        </w:rPr>
        <w:t>quy định tại khoản 1 Điều 146 của Bộ luật Hình sự là hành vi của những người cùng giới tính hoặc khác giới tính tiếp xúc về thể chất trực tiếp hoặc gián tiếp qua lớp quần áo vào bộ phận sinh dục, bộ phận nhạy cảm, bộ phận khác trên cơ thể của người dưới 16 tuổi có tính chất tình dục nhưng không nhằm quan hệ tình dục, gồm một trong các hành vi sau đây:</w:t>
      </w:r>
    </w:p>
    <w:p w14:paraId="35BEE8ED"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Dùng bộ phận sinh dục, bộ phận nhạy cảm tiếp xúc (ví dụ: đụng chạm, cọ xát, chà xát...) với bộ phận sinh dục, bộ phận nhạy cảm, bộ phận khác của người dưới 16 tuổi;</w:t>
      </w:r>
    </w:p>
    <w:p w14:paraId="77FA8AE2"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Dùng bộ phận khác trên cơ thể (ví dụ: tay, chân, miệng, lưỡi...) tiếp xúc (ví dụ: vuốt ve, sờ, bóp, cấu véo, hôn, liếm...) với bộ phận sinh dục, bộ phận nhạy cảm của người dưới 16 tuổi;</w:t>
      </w:r>
    </w:p>
    <w:p w14:paraId="61AF088B"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dụng cụ tình dục tiếp xúc (ví dụ: đụng chạm, cọ xát, chà xát...) với bộ phận sinh dục, bộ phận nhạy cảm của người dưới 16 tuổi;</w:t>
      </w:r>
    </w:p>
    <w:p w14:paraId="12E7B3DC"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Dụ dỗ, ép buộc người dưới 16 tuổi dùng bộ phận khác trên cơ thể của họ tiếp xúc (ví dụ: vuốt ve, sờ, bóp, cấu véo, hôn, liếm...) với bộ phận nhạy cảm của người phạm tội hoặc của người khác;</w:t>
      </w:r>
    </w:p>
    <w:p w14:paraId="5DEBBFF5"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hành vi khác có tính chất tình dục nhưng không nhằm quan hệ tình dục (ví dụ: hôn vào miệng, cổ, tai, gáy... của người dưới 16 tuổi).</w:t>
      </w:r>
    </w:p>
    <w:p w14:paraId="38300D52"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b/>
          <w:bCs/>
          <w:color w:val="000000"/>
          <w:sz w:val="21"/>
          <w:szCs w:val="21"/>
        </w:rPr>
        <w:t>Trình diễn khiêu dâm </w:t>
      </w:r>
      <w:r>
        <w:rPr>
          <w:rFonts w:ascii="Arial" w:hAnsi="Arial" w:cs="Arial"/>
          <w:color w:val="000000"/>
          <w:sz w:val="21"/>
          <w:szCs w:val="21"/>
        </w:rPr>
        <w:t>quy định tại khoản 1 Điều 147 của Bộ luật Hình sự là hành vi dùng cử chỉ, hành động, lời nói, chữ viết, ký hiệu, hình ảnh, âm thanh nhằm kích thích tình dục người dưới 16 tuổi; phô bày bộ phận sinh dục, bộ phận nhạy cảm, khỏa thân, thoát y hoặc thực hiện các động tác mô phỏng hoạt động tình dục (bao gồm giao cấu, thủ dâm và các hành vi tình dục khác) dưới mọi hình thức.</w:t>
      </w:r>
    </w:p>
    <w:p w14:paraId="267BCB2C"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b/>
          <w:bCs/>
          <w:color w:val="000000"/>
          <w:sz w:val="21"/>
          <w:szCs w:val="21"/>
        </w:rPr>
        <w:t>Trực tiếp chứng kiến việc trình diễn khiêu dâm </w:t>
      </w:r>
      <w:r>
        <w:rPr>
          <w:rFonts w:ascii="Arial" w:hAnsi="Arial" w:cs="Arial"/>
          <w:color w:val="000000"/>
          <w:sz w:val="21"/>
          <w:szCs w:val="21"/>
        </w:rPr>
        <w:t>quy định tại khoản 1 Điều 147 của Bộ luật Hình sự là trường hợp người dưới 16 tuổi trực tiếp chứng kiến người khác trình diễn khiêu dâm dưới mọi hình thức.</w:t>
      </w:r>
    </w:p>
    <w:p w14:paraId="762E1C4A"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b/>
          <w:bCs/>
          <w:color w:val="000000"/>
          <w:sz w:val="21"/>
          <w:szCs w:val="21"/>
        </w:rPr>
        <w:t>Các hình thức biểu hiện trình diễn khiêu dâm hoặc trực tiếp chứng kiến việc trình diễn khiêu dâm </w:t>
      </w:r>
      <w:r>
        <w:rPr>
          <w:rFonts w:ascii="Arial" w:hAnsi="Arial" w:cs="Arial"/>
          <w:color w:val="000000"/>
          <w:sz w:val="21"/>
          <w:szCs w:val="21"/>
        </w:rPr>
        <w:t>quy định tại khoản 1 Điều 147 của Bộ luật Hình sự:</w:t>
      </w:r>
    </w:p>
    <w:p w14:paraId="620043C2"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trình diễn khiêu dâm trước mặt người dưới 16 tuổi hoặc dụ dỗ người dưới 16 tuổi trực tiếp trình diễn khiêu dâm;</w:t>
      </w:r>
    </w:p>
    <w:p w14:paraId="3F345380"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Chiếu trực tiếp cảnh trình diễn khiêu dâm có sự tham gia của người dưới 16 tuổi;</w:t>
      </w:r>
    </w:p>
    <w:p w14:paraId="5574302A"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Dụ dỗ, lôi kéo, ép buộc người dưới 16 tuổi tự chụp, quay lại cảnh trình diễn khiêu dâm của mình sau đó phát tán;</w:t>
      </w:r>
    </w:p>
    <w:p w14:paraId="65688CDA"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Dụ dỗ, lôi kéo, ép buộc người dưới 16 tuổi khỏa thân và truyền tải trực tiếp âm thanh, hình ảnh qua internet (livestream);</w:t>
      </w:r>
    </w:p>
    <w:p w14:paraId="76F07FFA"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Trình chiếu các ấn phẩm đồi trụy có sử dụng người dưới 16 tuổi hoặc hình ảnh mô phỏng người dưới 16 tuổi (hoạt hình, nhân vật được tạo ra bằng công nghệ số);</w:t>
      </w:r>
    </w:p>
    <w:p w14:paraId="036A9289"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Mô tả bộ phận sinh dục, bộ phận nhạy cảm của con người, trừ trường hợp hướng dẫn tại khoản 2 Điều 5 của Nghị quyết này;</w:t>
      </w:r>
    </w:p>
    <w:p w14:paraId="2A8436DC"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hình thức biểu hiện khác của trình diễn khiêu dâm hoặc trực tiếp chứng kiến việc trình diễn khiêu dâm.</w:t>
      </w:r>
    </w:p>
    <w:p w14:paraId="2D396C64"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b/>
          <w:bCs/>
          <w:color w:val="000000"/>
          <w:sz w:val="21"/>
          <w:szCs w:val="21"/>
        </w:rPr>
        <w:t>Lợi dụng tình trạng không thể tự vệ được của nạn nhân </w:t>
      </w:r>
      <w:r>
        <w:rPr>
          <w:rFonts w:ascii="Arial" w:hAnsi="Arial" w:cs="Arial"/>
          <w:color w:val="000000"/>
          <w:sz w:val="21"/>
          <w:szCs w:val="21"/>
        </w:rPr>
        <w:t>quy định tại khoản 1 Điều 141 và khoản 1 Điều 142 của Bộ luật Hình sự là việc người phạm tội lợi dụng tình trạng người bị hại lâm vào một trong những hoàn cảnh sau đây để giao cấu hoặc thực hiện hành vi quan hệ tình dục khác:</w:t>
      </w:r>
    </w:p>
    <w:p w14:paraId="0F000356"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Ngưòi bị hại không thể chống cự được (ví dụ: người bị hại bị tai nạn, bị ngất, bị trói, bị khuyết tật... dẫn đến không thể chống cự được);</w:t>
      </w:r>
    </w:p>
    <w:p w14:paraId="0E8CA6E7"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bị hại bị hạn chế hoặc bị mất khả năng nhận thức, khả năng điều khiển hành vi (ví dụ: người bị hại bị say rượu, bia, thuốc ngủ, thuốc gây mê, ma túy, thuốc an thần, thuốc kích thích, các chất kích thích khác, bị bệnh tâm thần hoặc bị bệnh khác... dẫn đến hạn chế hoặc mất khả năng nhận thức, khả năng điều khiển hành vi).</w:t>
      </w:r>
    </w:p>
    <w:p w14:paraId="44EBA949"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b/>
          <w:bCs/>
          <w:color w:val="000000"/>
          <w:sz w:val="21"/>
          <w:szCs w:val="21"/>
        </w:rPr>
        <w:t>Thủ đoạn khác </w:t>
      </w:r>
      <w:r>
        <w:rPr>
          <w:rFonts w:ascii="Arial" w:hAnsi="Arial" w:cs="Arial"/>
          <w:color w:val="000000"/>
          <w:sz w:val="21"/>
          <w:szCs w:val="21"/>
        </w:rPr>
        <w:t>quy định tại khoản 1 Điều 141 và khoản 1 Điều 142 của Bộ luật Hình sự bao gồm các thủ đoạn như đầu độc nạn nhân; cho nạn nhân uống thuốc ngủ, thuốc gây mê, uống rượu, bia hoặc các chất kích thích mạnh khác làm nạn nhân lâm vào tình trạng mất khả năng nhận thức, khả năng điều khiển hành vi để giao cấu hoặc thực hiện hành vi quan hệ tình dục khác; hứa hẹn cho tốt nghiệp, cho đi học, đi thi đấu, đi biểu diễn ở nước ngoài để giao cấu hoặc thực hiện hành vi quan hệ tình dục khác.</w:t>
      </w:r>
    </w:p>
    <w:p w14:paraId="1FCA264B"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b/>
          <w:bCs/>
          <w:color w:val="000000"/>
          <w:sz w:val="21"/>
          <w:szCs w:val="21"/>
        </w:rPr>
        <w:t>Trái với ý muốn của nạn nhân </w:t>
      </w:r>
      <w:r>
        <w:rPr>
          <w:rFonts w:ascii="Arial" w:hAnsi="Arial" w:cs="Arial"/>
          <w:color w:val="000000"/>
          <w:sz w:val="21"/>
          <w:szCs w:val="21"/>
        </w:rPr>
        <w:t>quy định tại khoản 1 Điều 141 và điểm a khoản 1 Điều 142 của Bộ luật Hình sự là người bị hại không đồng ý, phó mặc hoặc không có khả năng biểu lộ ý chí của mình đối với hành vi quan hệ tình dục cố ý của người phạm tội.</w:t>
      </w:r>
    </w:p>
    <w:p w14:paraId="292BDDBE"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b/>
          <w:bCs/>
          <w:color w:val="000000"/>
          <w:sz w:val="21"/>
          <w:szCs w:val="21"/>
        </w:rPr>
        <w:t>Người lệ thuộc </w:t>
      </w:r>
      <w:r>
        <w:rPr>
          <w:rFonts w:ascii="Arial" w:hAnsi="Arial" w:cs="Arial"/>
          <w:color w:val="000000"/>
          <w:sz w:val="21"/>
          <w:szCs w:val="21"/>
        </w:rPr>
        <w:t>quy định tại khoản 1 Điều 143 và đang ở trong tình trạng lệ thuộc mình quy định tại khoản 1 Điều 144 của Bộ luật Hình sự là trường hợp người bị hại bị lệ thuộc vào người phạm tội về vật chất (ví dụ: người bị hại được người phạm tội nuôi dưỡng, chu cấp chi phí sinh hoạt hàng ngày...) hoặc lệ thuộc về tinh thần, công việc, giáo dục, tín ngưỡng (ví dụ: người bị hại là người lao động làm thuê cho người phạm tội; người bị hại là học sinh trong lớp do người phạm tội là giáo viên chủ nhiệm hoặc giáo viên bộ môn...).</w:t>
      </w:r>
    </w:p>
    <w:p w14:paraId="12E69B57"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b/>
          <w:bCs/>
          <w:color w:val="000000"/>
          <w:sz w:val="21"/>
          <w:szCs w:val="21"/>
        </w:rPr>
        <w:t>Người đang ở trong tình trạng quẫn bách </w:t>
      </w:r>
      <w:r>
        <w:rPr>
          <w:rFonts w:ascii="Arial" w:hAnsi="Arial" w:cs="Arial"/>
          <w:color w:val="000000"/>
          <w:sz w:val="21"/>
          <w:szCs w:val="21"/>
        </w:rPr>
        <w:t xml:space="preserve">quy định tại khoản 1 Điều 143, khoản 1 Điều 144 của Bộ luật Hình sự là trường hợp người bị hại đang lâm vào hoàn cảnh khó khăn, bức bách nhưng </w:t>
      </w:r>
      <w:r>
        <w:rPr>
          <w:rFonts w:ascii="Arial" w:hAnsi="Arial" w:cs="Arial"/>
          <w:color w:val="000000"/>
          <w:sz w:val="21"/>
          <w:szCs w:val="21"/>
        </w:rPr>
        <w:lastRenderedPageBreak/>
        <w:t>không tự mình khắc phục được mà cần có sự hỗ trợ, giúp đỡ của người khác (ví dụ: không có tiền chữa bệnh hiểm nghèo; không có tiền để chuộc con mình đang bị bắt cóc...).</w:t>
      </w:r>
    </w:p>
    <w:p w14:paraId="33E21FDD" w14:textId="77777777" w:rsidR="00257470" w:rsidRDefault="00257470" w:rsidP="00257470">
      <w:pPr>
        <w:pStyle w:val="Heading2"/>
        <w:spacing w:after="75" w:afterAutospacing="0" w:line="375" w:lineRule="atLeast"/>
        <w:rPr>
          <w:rFonts w:ascii="Arial" w:eastAsia="Times New Roman" w:hAnsi="Arial" w:cs="Arial"/>
          <w:color w:val="000000"/>
          <w:sz w:val="23"/>
          <w:szCs w:val="23"/>
        </w:rPr>
      </w:pPr>
      <w:r>
        <w:rPr>
          <w:rStyle w:val="Strong"/>
          <w:rFonts w:ascii="Arial" w:eastAsia="Times New Roman" w:hAnsi="Arial" w:cs="Arial"/>
          <w:b/>
          <w:bCs/>
          <w:color w:val="000000"/>
          <w:sz w:val="21"/>
          <w:szCs w:val="21"/>
        </w:rPr>
        <w:t>Điều 4. Về một số tình tiết định khung</w:t>
      </w:r>
    </w:p>
    <w:p w14:paraId="04ED312A" w14:textId="77777777" w:rsidR="00257470" w:rsidRDefault="00257470" w:rsidP="00257470">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w:t>
      </w:r>
      <w:r>
        <w:rPr>
          <w:rStyle w:val="Emphasis"/>
          <w:rFonts w:ascii="Arial" w:hAnsi="Arial" w:cs="Arial"/>
          <w:b/>
          <w:bCs/>
          <w:color w:val="000000"/>
          <w:sz w:val="21"/>
          <w:szCs w:val="21"/>
        </w:rPr>
        <w:t>Có tính chất loạn luân </w:t>
      </w:r>
      <w:r>
        <w:rPr>
          <w:rFonts w:ascii="Arial" w:hAnsi="Arial" w:cs="Arial"/>
          <w:color w:val="000000"/>
          <w:sz w:val="21"/>
          <w:szCs w:val="21"/>
        </w:rPr>
        <w:t>quy định tại điểm e khoản 2 Điều 141, điểm a khoản 2 Điều 142, điểm d khoản 2 Điều 143 và điểm a khoản 2 Điều 144 của Bộ luật Hình sự là một trong các trường hợp sau đây:</w:t>
      </w:r>
    </w:p>
    <w:p w14:paraId="1A83BD80"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đối với người cùng dòng máu về trực hệ, với anh chị em cùng cha mẹ, anh chị em cùng cha khác mẹ hoặc cùng mẹ khác cha;</w:t>
      </w:r>
    </w:p>
    <w:p w14:paraId="4B09958A"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đối với cô ruột, dì ruột, chú ruột, bác ruột, cậu ruột, cháu ruột;</w:t>
      </w:r>
    </w:p>
    <w:p w14:paraId="49BAB842"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đối với con nuôi, bố nuôi, mẹ nuôi;</w:t>
      </w:r>
    </w:p>
    <w:p w14:paraId="1B3B8FC0"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đối với con riêng của vợ, con riêng của chồng, bố dượng, mẹ kế;</w:t>
      </w:r>
    </w:p>
    <w:p w14:paraId="57066F12"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đối với con dâu, bố chồng, mẹ vợ, con rể.</w:t>
      </w:r>
    </w:p>
    <w:p w14:paraId="2CDFF9D4"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b/>
          <w:bCs/>
          <w:color w:val="000000"/>
          <w:sz w:val="21"/>
          <w:szCs w:val="21"/>
        </w:rPr>
        <w:t>Phạm tội 02 lần trở lên </w:t>
      </w:r>
      <w:r>
        <w:rPr>
          <w:rFonts w:ascii="Arial" w:hAnsi="Arial" w:cs="Arial"/>
          <w:color w:val="000000"/>
          <w:sz w:val="21"/>
          <w:szCs w:val="21"/>
        </w:rPr>
        <w:t>quy định tại điểm c khoản 2 Điều 141, điểm đ khoản 2 Điều 142, điểm b khoản 2 Điều 143, điểm d khoản 2 Điều 144, điểm a khoản 2 Điều 145, điểm b khoản 2 Điều 146 và điểm b khoản 2 Điều 147 của Bộ luật Hình sự là trường hợp người phạm tội đã thực hiện hành vi phạm tội từ 02 lần trở lên nhưng chưa bị truy cứu trách nhiệm hình sự và chưa hết thời hiệu truy cứu trách nhiệm hình sự.</w:t>
      </w:r>
    </w:p>
    <w:p w14:paraId="27801043"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b/>
          <w:bCs/>
          <w:color w:val="000000"/>
          <w:sz w:val="21"/>
          <w:szCs w:val="21"/>
        </w:rPr>
        <w:t>Nhiều người hiếp một người </w:t>
      </w:r>
      <w:r>
        <w:rPr>
          <w:rFonts w:ascii="Arial" w:hAnsi="Arial" w:cs="Arial"/>
          <w:color w:val="000000"/>
          <w:sz w:val="21"/>
          <w:szCs w:val="21"/>
        </w:rPr>
        <w:t>quy định tại điểm c khoản 2 Điều 141 và điểm b khoản 3 Điều 142 của Bộ luật Hình sự là trường hợp 02 người trở lên hiếp dâm 01 người. Cũng được coi là “nhiều người hiếp một người”, nếu có từ 02 người trở lên cùng bàn bạc, thống nhất sẽ thay nhau hiếp dâm 01 người, nhưng vì lý do ngoài ý muốn mới có 01 người thực hiện được hành vi hiếp dâm.</w:t>
      </w:r>
    </w:p>
    <w:p w14:paraId="76FC906F"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coi là “nhiều người hiếp một người”, nếu có từ 02 người trở lên câu kết với nhau tổ chức, giúp sức cho 01 người hiếp dâm (trường hợp này là đồng phạm).</w:t>
      </w:r>
    </w:p>
    <w:p w14:paraId="523DF812"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b/>
          <w:bCs/>
          <w:color w:val="000000"/>
          <w:sz w:val="21"/>
          <w:szCs w:val="21"/>
        </w:rPr>
        <w:t>Nhiều người </w:t>
      </w:r>
      <w:hyperlink r:id="rId6" w:history="1">
        <w:r>
          <w:rPr>
            <w:rStyle w:val="Hyperlink"/>
            <w:rFonts w:ascii="Arial" w:hAnsi="Arial" w:cs="Arial"/>
            <w:b/>
            <w:bCs/>
            <w:i/>
            <w:iCs/>
            <w:color w:val="135ECD"/>
            <w:sz w:val="21"/>
            <w:szCs w:val="21"/>
          </w:rPr>
          <w:t>cưỡng dâm </w:t>
        </w:r>
      </w:hyperlink>
      <w:r>
        <w:rPr>
          <w:rStyle w:val="Emphasis"/>
          <w:rFonts w:ascii="Arial" w:hAnsi="Arial" w:cs="Arial"/>
          <w:b/>
          <w:bCs/>
          <w:color w:val="000000"/>
          <w:sz w:val="21"/>
          <w:szCs w:val="21"/>
        </w:rPr>
        <w:t>một người </w:t>
      </w:r>
      <w:r>
        <w:rPr>
          <w:rFonts w:ascii="Arial" w:hAnsi="Arial" w:cs="Arial"/>
          <w:color w:val="000000"/>
          <w:sz w:val="21"/>
          <w:szCs w:val="21"/>
        </w:rPr>
        <w:t>quy định tại điểm a khoản 2 Điều 143 và điểm a khoản 3 Điều 144 của Bộ luật Hình sự là trường hợp 02 người trở lên cưỡng dâm 01 người. Cũng được coi là “nhiều người cưỡng dâm một người” nếu có từ 02 người trở lên cùng bàn bạc, thống nhất sẽ thay nhau cưỡng dâm 01 người, nhưng vì lý do ngoài ý muốn mới có 01 người thực hiện được hành vi cưỡng dâm.</w:t>
      </w:r>
    </w:p>
    <w:p w14:paraId="2E62AD39"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Không coi là “nhiều người cưỡng dâm một người”, nếu có từ 02 người trở lên câu kết với nhau tổ chức, giúp sức cho 01 người cưỡng dâm (trường hợp này là đồng phạm).</w:t>
      </w:r>
    </w:p>
    <w:p w14:paraId="1A9C1FA7" w14:textId="77777777" w:rsidR="00257470" w:rsidRDefault="00257470" w:rsidP="00257470">
      <w:pPr>
        <w:pStyle w:val="NormalWeb"/>
        <w:spacing w:after="90" w:afterAutospacing="0" w:line="345" w:lineRule="atLeast"/>
        <w:jc w:val="both"/>
        <w:rPr>
          <w:rFonts w:ascii="Arial" w:hAnsi="Arial" w:cs="Arial"/>
          <w:color w:val="000000"/>
          <w:sz w:val="21"/>
          <w:szCs w:val="21"/>
        </w:rPr>
      </w:pPr>
    </w:p>
    <w:p w14:paraId="72770921" w14:textId="77777777" w:rsidR="00257470" w:rsidRDefault="00257470" w:rsidP="00257470">
      <w:pPr>
        <w:pStyle w:val="Heading2"/>
        <w:spacing w:after="75" w:afterAutospacing="0" w:line="375" w:lineRule="atLeast"/>
        <w:rPr>
          <w:rFonts w:ascii="Arial" w:eastAsia="Times New Roman" w:hAnsi="Arial" w:cs="Arial"/>
          <w:color w:val="000000"/>
          <w:sz w:val="23"/>
          <w:szCs w:val="23"/>
        </w:rPr>
      </w:pPr>
      <w:r>
        <w:rPr>
          <w:rStyle w:val="Strong"/>
          <w:rFonts w:ascii="Arial" w:eastAsia="Times New Roman" w:hAnsi="Arial" w:cs="Arial"/>
          <w:b/>
          <w:bCs/>
          <w:color w:val="000000"/>
          <w:sz w:val="21"/>
          <w:szCs w:val="21"/>
        </w:rPr>
        <w:t>Điều 5. Các trường hợp loại trừ xử lý hình sự</w:t>
      </w:r>
    </w:p>
    <w:p w14:paraId="5BA6316B" w14:textId="77777777" w:rsidR="00257470" w:rsidRDefault="00257470" w:rsidP="00257470">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Không xử lý hình sự theo quy định tại Điều 146 của Bộ luật Hình sự nếu thuộc một trong các trường hợp sau đây:</w:t>
      </w:r>
    </w:p>
    <w:p w14:paraId="11C2CE95"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trực tiếp chăm sóc, giáo dục người dưới 10 tuổi, người bệnh, người tàn tật, có hành vi tiếp xúc với bộ phận sinh dục, bộ phận nhạy cảm của họ nhưng không có tính chất tình dục (ví dụ: cha, mẹ tắm rửa, vệ sinh cho con dưới 10 tuổi; giáo viên mầm non tắm rửa, vệ sinh cho trẻ mầm non...);</w:t>
      </w:r>
    </w:p>
    <w:p w14:paraId="797BF581"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làm công việc khám, chữa bệnh, chăm sóc y tế; người cấp cứu, sơ cứu người bị nạn có hành vi tiếp xúc với bộ phận sinh dục, bộ phận nhạy cảm, bộ phận khác của người dưới 16 tuổi nhưng không có tính chất tình dục (ví dụ: bác sĩ khám, chữa bệnh cho bệnh nhân; sơ cứu, cấp cứu người bị tai nạn, người bị đuối nước...).</w:t>
      </w:r>
    </w:p>
    <w:p w14:paraId="23864BBA"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xử lý hình sự theo quy định tại Điều 147 của Bộ luật Hình sự đối với trường hợp người làm công tác giáo dục, khám, chữa bệnh, chăm sóc y tế mô tả bộ phận sinh dục, bộ phận nhạy cảm của con người vì mục đích giáo dục, khám, chữa bệnh, chăm sóc y tế.</w:t>
      </w:r>
    </w:p>
    <w:p w14:paraId="7213EDC4" w14:textId="77777777" w:rsidR="00257470" w:rsidRDefault="00257470" w:rsidP="00257470">
      <w:pPr>
        <w:pStyle w:val="NormalWeb"/>
        <w:spacing w:after="90" w:afterAutospacing="0" w:line="345" w:lineRule="atLeast"/>
        <w:jc w:val="both"/>
        <w:rPr>
          <w:rFonts w:ascii="Arial" w:hAnsi="Arial" w:cs="Arial"/>
          <w:color w:val="000000"/>
          <w:sz w:val="21"/>
          <w:szCs w:val="21"/>
        </w:rPr>
      </w:pPr>
    </w:p>
    <w:p w14:paraId="0195782F" w14:textId="77777777" w:rsidR="00257470" w:rsidRDefault="00257470" w:rsidP="00257470">
      <w:pPr>
        <w:pStyle w:val="Heading2"/>
        <w:spacing w:after="75" w:afterAutospacing="0" w:line="375" w:lineRule="atLeast"/>
        <w:rPr>
          <w:rFonts w:ascii="Arial" w:eastAsia="Times New Roman" w:hAnsi="Arial" w:cs="Arial"/>
          <w:color w:val="000000"/>
          <w:sz w:val="23"/>
          <w:szCs w:val="23"/>
        </w:rPr>
      </w:pPr>
      <w:r>
        <w:rPr>
          <w:rStyle w:val="Strong"/>
          <w:rFonts w:ascii="Arial" w:eastAsia="Times New Roman" w:hAnsi="Arial" w:cs="Arial"/>
          <w:b/>
          <w:bCs/>
          <w:color w:val="000000"/>
          <w:sz w:val="21"/>
          <w:szCs w:val="21"/>
        </w:rPr>
        <w:t>Điều 6. Nguyên tắc xử lý đối với người phạm tội xâm hại tình dục</w:t>
      </w:r>
    </w:p>
    <w:p w14:paraId="5E305FD7" w14:textId="77777777" w:rsidR="00257470" w:rsidRDefault="00257470" w:rsidP="00257470">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Tuân thủ các nguyên tắc cơ bản của pháp luật hình sự và tố tụng hình sự.</w:t>
      </w:r>
    </w:p>
    <w:p w14:paraId="00D9A0DD"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Áp dụng hình phạt nghiêm khắc đối với các hành vi vi phạm luân thường, đạo đức; lợi dụng chức vụ, quyền hạn; lợi dụng nghề nghiệp, công việc; xâm hại người dưới 13 tuổi.</w:t>
      </w:r>
    </w:p>
    <w:p w14:paraId="37FCF07D"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Áp dụng các hình phạt bổ sung cao nhất theo quy định của Bộ luật Hình sự và các đạo luật khác có liên quan. Trong trường hợp cần thiết có thể cấm đảm nhiệm chức vụ, hành nghề liên quan đến người dưới 16 tuổi.</w:t>
      </w:r>
    </w:p>
    <w:p w14:paraId="7DA2B9B5" w14:textId="77777777" w:rsidR="00257470" w:rsidRDefault="00257470" w:rsidP="00257470">
      <w:pPr>
        <w:pStyle w:val="NormalWeb"/>
        <w:spacing w:after="90" w:afterAutospacing="0" w:line="345" w:lineRule="atLeast"/>
        <w:jc w:val="both"/>
        <w:rPr>
          <w:rFonts w:ascii="Arial" w:hAnsi="Arial" w:cs="Arial"/>
          <w:color w:val="000000"/>
          <w:sz w:val="21"/>
          <w:szCs w:val="21"/>
        </w:rPr>
      </w:pPr>
    </w:p>
    <w:p w14:paraId="66BB594D" w14:textId="77777777" w:rsidR="00257470" w:rsidRDefault="00257470" w:rsidP="00257470">
      <w:pPr>
        <w:pStyle w:val="Heading2"/>
        <w:spacing w:after="75" w:afterAutospacing="0" w:line="375" w:lineRule="atLeast"/>
        <w:rPr>
          <w:rFonts w:ascii="Arial" w:eastAsia="Times New Roman" w:hAnsi="Arial" w:cs="Arial"/>
          <w:color w:val="000000"/>
          <w:sz w:val="23"/>
          <w:szCs w:val="23"/>
        </w:rPr>
      </w:pPr>
      <w:r>
        <w:rPr>
          <w:rStyle w:val="Strong"/>
          <w:rFonts w:ascii="Arial" w:eastAsia="Times New Roman" w:hAnsi="Arial" w:cs="Arial"/>
          <w:b/>
          <w:bCs/>
          <w:color w:val="000000"/>
          <w:sz w:val="21"/>
          <w:szCs w:val="21"/>
        </w:rPr>
        <w:t>Điều 7. Tổ chức xét xử vụ án xâm hại tình dục có bị hại là người dưới 18 tuổi</w:t>
      </w:r>
    </w:p>
    <w:p w14:paraId="3C5DC540" w14:textId="77777777" w:rsidR="00257470" w:rsidRDefault="00257470" w:rsidP="00257470">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lastRenderedPageBreak/>
        <w:t>1. Thời hạn xét xử vụ án xâm hại tình dục có bị hại là người dưới 18 tuổi được thực hiện như sau:</w:t>
      </w:r>
    </w:p>
    <w:p w14:paraId="7464FFC3"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Áp dụng thủ tục rút gọn đối với các trường hợp đủ điều kiện theo quy định của pháp luật tố tụng hình sự;</w:t>
      </w:r>
    </w:p>
    <w:p w14:paraId="61B4E209"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các vụ án khác ra xét xử trong thời hạn không quá 1/2 thời hạn pháp luật cho phép đối với các trường hợp tương ứng.</w:t>
      </w:r>
    </w:p>
    <w:p w14:paraId="73505965"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xét xử vụ án xâm hại tình dục người dưới 18 tuổi, Tòa án phải thực hiện:</w:t>
      </w:r>
    </w:p>
    <w:p w14:paraId="6C8267A2"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Xét xử kín, tuyên án công khai theo đúng quy định tại Điều 327 của Bộ luật Tố tụng hình sự. Khi tuyên án, Hội đồng xét xử chỉ đọc phần quyết định trong bản án;</w:t>
      </w:r>
    </w:p>
    <w:p w14:paraId="61CE9A13"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công Thẩm phán có kiến thức hoặc kinh nghiệm xét xử các vụ án liên quan đến người dưới 18 tuổi;</w:t>
      </w:r>
    </w:p>
    <w:p w14:paraId="4DF9BE37"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tham gia xét xử, Thẩm phán mặc trang phục làm việc hành chính của Tòa án nhân dân, không mặc áo choàng;</w:t>
      </w:r>
    </w:p>
    <w:p w14:paraId="010332BB"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Xử án tại Phòng xét xử thân thiện theo đúng quy định tại Thông tư số 01/2017/TT-TANDTC ngày 28 tháng 7 năm 2017 và Thông tư số 02/2018/TT-TANDTC ngày 21 tháng 9 năm 2018 của Chánh án Tòa án nhân dân tối cao;</w:t>
      </w:r>
    </w:p>
    <w:p w14:paraId="72BDCEE0"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sự tham gia của người đại diện, người giám hộ, người bảo vệ quyền và lợi ích hợp pháp của người dưới 18 tuổi.</w:t>
      </w:r>
    </w:p>
    <w:p w14:paraId="76B66840"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xét xử vụ án xâm hại tình dục người dưới 18 tuổi, căn cứ vào điều kiện và hoàn cảnh cụ thể, Tòa án cần thực hiện:</w:t>
      </w:r>
    </w:p>
    <w:p w14:paraId="4ECA54D0"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 chế triệu tập bị hại là người dưới 18 tuổi đến phiên tòa nếu vẫn giải quyết được vụ án bằng việc áp dụng các biện pháp thay thế khác (ví dụ: sử dụng lời khai của họ ở giai đoạn điều tra, truy tố; mời họ đến Tòa án hoặc địa điểm hợp pháp khác để lấy lời khai trước bằng văn bản, bằng ghi âm, ghi hình có âm thanh...).</w:t>
      </w:r>
    </w:p>
    <w:p w14:paraId="43248940"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phải triệu tập bị hại là người dưới 18 tuổi đến phiên tòa, Tòa án cần tạo điều kiện để họ làm quen, tiếp xúc với môi trường Tòa án, với quy trình và thủ tục xét xử; bố trí cho họ ngồi ở phòng cách ly và sử dụng các thiết bị điện tử (ví dụ: micro, loa, ti vi, camera...) để không làm ảnh hưởng đến tâm lý của họ khi họ khai báo, tham gia tố tụng tại phiên tòa; trường hợp không bố trí được phòng cách ly thì để họ ngồi ở phòng xử án nhưng phải có màn che ngăn cách với khu vực </w:t>
      </w:r>
      <w:r>
        <w:rPr>
          <w:rFonts w:ascii="Arial" w:hAnsi="Arial" w:cs="Arial"/>
          <w:color w:val="000000"/>
          <w:sz w:val="21"/>
          <w:szCs w:val="21"/>
        </w:rPr>
        <w:lastRenderedPageBreak/>
        <w:t>của bị cáo và khoảng cách giữa Hội đồng xét xử với người bị hại là người dưới 18 tuổi không quá 03 mét.</w:t>
      </w:r>
    </w:p>
    <w:p w14:paraId="6BB24659"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Câu hỏi đối với bị hại là người dưới 18 tuổi phải phù hợp với lứa tuổi, mức độ phát triển, trình độ văn hóa, hiểu biết của họ. Câu hỏi cần ngắn gọn, rõ ràng, đơn giản, dễ hiểu; không hỏi nhiều vấn đề cùng một lúc; chỉ đặt câu hỏi làm rõ tình tiết vụ án; không đặt câu hỏi chỉ để tranh luận. Câu hỏi đối với bị hại dưới 10 tuổi không quá 10 từ và thời gian hỏi không liên tục quá 01 giờ.</w:t>
      </w:r>
    </w:p>
    <w:p w14:paraId="3141A5F7"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sơ đồ hoặc mô hình cơ thể có đánh số thứ tự các bộ phận để người bị hại là người dưới 18 tuổi xác định các bộ phận bị xâm hại.</w:t>
      </w:r>
    </w:p>
    <w:p w14:paraId="3E88C248"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bị cáo đề nghị được hỏi bị hại là người dưới 18 tuổi thì phải chuyển câu hỏi cho người bào chữa hoặc Hội đồng xét xử hỏi.</w:t>
      </w:r>
    </w:p>
    <w:p w14:paraId="1F921DEC"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xét xử vụ án xâm hại tình dục người dưới 18 tuổi, Tòa án không được:</w:t>
      </w:r>
    </w:p>
    <w:p w14:paraId="4392B170"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bị hại là người dưới 18 tuổi tường thuật lại chi tiết quá trình phạm tội;</w:t>
      </w:r>
    </w:p>
    <w:p w14:paraId="6DADF332"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câu hỏi có tính chất công kích, đe dọa, gây xấu hổ, xúc phạm bị hại;</w:t>
      </w:r>
    </w:p>
    <w:p w14:paraId="4557B961"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chất giữa bị hại với người phạm tội tại phiên tòa;</w:t>
      </w:r>
    </w:p>
    <w:p w14:paraId="516F8D96"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bộ phận bị xâm hại bằng cách để bị hại là người dưới 18 tuổi chỉ trực tiếp vào bộ phận cơ thể của mình hoặc của người khác;</w:t>
      </w:r>
    </w:p>
    <w:p w14:paraId="3F979B0B"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Để bị cáo hỏi trực tiếp bị hại là người dưới 18 tuổi;</w:t>
      </w:r>
    </w:p>
    <w:p w14:paraId="3623CFE3"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Buộc bị hại là người dưới 18 tuổi phải đứng khi tham gia tố tụng tại phiên tòa;</w:t>
      </w:r>
    </w:p>
    <w:p w14:paraId="16EAF79B"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Công khai bản án, quyết định của Tòa án liên quan đến vụ án trên Cổng thông tin điện tử của Tòa án.</w:t>
      </w:r>
    </w:p>
    <w:p w14:paraId="4F29BB5E"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Tòa án phải xem xét và đề nghị cơ quan, người có thẩm quyền áp dụng các biện pháp bảo vệ phù hợp theo quy định tại Chương XXXIV của Bộ luật Tố tụng hình sự khi bị hại, người thân thích của bị hại yêu cầu hoặc cơ quan, tổ chức có thẩm quyền kiến nghị bảo vệ tính mạng, sức khỏe, danh dự, nhân phẩm, tài sản, quyền và lợi ích hợp pháp khác của bị hại, người thân thích của họ.</w:t>
      </w:r>
    </w:p>
    <w:p w14:paraId="0F05D89F"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Tuân thủ các quy định khác tại Chương XXVIII của Bộ luật Tố tụng hình sự; hướng dẫn tại Thông tư số 02/2018/TT-TANDTC ngày 21 tháng 9 năm 2018 của Chánh án Tòa án nhân dân tối cao; Thông tư liên tịch số 06/2018/TTLT-VKSNDTC-TANDTC-BCA-BTP-BLĐTBXH ngày 21 tháng 12 </w:t>
      </w:r>
      <w:r>
        <w:rPr>
          <w:rFonts w:ascii="Arial" w:hAnsi="Arial" w:cs="Arial"/>
          <w:color w:val="000000"/>
          <w:sz w:val="21"/>
          <w:szCs w:val="21"/>
        </w:rPr>
        <w:lastRenderedPageBreak/>
        <w:t>năm 2018 của Viện kiểm sát nhân dân tối cao, Tòa án nhân dân tối cao, Bộ Công an, Bộ Tư pháp, Bộ Lao động - Thương binh và Xã hội và các văn bản hướng dẫn thi hành khác có liên quan.</w:t>
      </w:r>
    </w:p>
    <w:p w14:paraId="6E540C92" w14:textId="77777777" w:rsidR="00257470" w:rsidRDefault="00257470" w:rsidP="00257470">
      <w:pPr>
        <w:pStyle w:val="Heading2"/>
        <w:spacing w:after="75" w:afterAutospacing="0" w:line="375" w:lineRule="atLeast"/>
        <w:rPr>
          <w:rFonts w:ascii="Arial" w:eastAsia="Times New Roman" w:hAnsi="Arial" w:cs="Arial"/>
          <w:color w:val="000000"/>
          <w:sz w:val="23"/>
          <w:szCs w:val="23"/>
        </w:rPr>
      </w:pPr>
      <w:r>
        <w:rPr>
          <w:rStyle w:val="Strong"/>
          <w:rFonts w:ascii="Arial" w:eastAsia="Times New Roman" w:hAnsi="Arial" w:cs="Arial"/>
          <w:b/>
          <w:bCs/>
          <w:color w:val="000000"/>
          <w:sz w:val="21"/>
          <w:szCs w:val="21"/>
        </w:rPr>
        <w:t>Điều 8. Hiệu lực thi hành</w:t>
      </w:r>
    </w:p>
    <w:p w14:paraId="297341D0" w14:textId="77777777" w:rsidR="00257470" w:rsidRDefault="00257470" w:rsidP="00257470">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Nghị quyết này đã được Hội đồng Thẩm phán Tòa án nhân dân tối cao thông qua ngày 20 tháng 9 năm 2019 và có hiệu lực thi hành kể từ ngày 05 tháng 11 năm 2019.</w:t>
      </w:r>
    </w:p>
    <w:p w14:paraId="45B09D4E" w14:textId="77777777"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phạm tội đã bị xét xử trước ngày Nghị quyết này có hiệu lực theo đúng các quy định, hướng dẫn trước đây và bản án đã có hiệu lực pháp luật thì không căn cứ vào Nghị quyết này để kháng nghị theo thủ tục giám đốc thẩm, tái thẩm.</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723"/>
        <w:gridCol w:w="2787"/>
      </w:tblGrid>
      <w:tr w:rsidR="00257470" w14:paraId="002091D4" w14:textId="77777777" w:rsidTr="0025747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FA3E3" w14:textId="77777777" w:rsidR="00257470" w:rsidRDefault="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Ủy ban Thường vụ Quốc hội (để giám sát);</w:t>
            </w:r>
            <w:r>
              <w:rPr>
                <w:rFonts w:ascii="Arial" w:hAnsi="Arial" w:cs="Arial"/>
                <w:color w:val="000000"/>
                <w:sz w:val="21"/>
                <w:szCs w:val="21"/>
              </w:rPr>
              <w:br/>
              <w:t>- Ủy ban Pháp luật của Quốc hội (để giám sát);</w:t>
            </w:r>
            <w:r>
              <w:rPr>
                <w:rFonts w:ascii="Arial" w:hAnsi="Arial" w:cs="Arial"/>
                <w:color w:val="000000"/>
                <w:sz w:val="21"/>
                <w:szCs w:val="21"/>
              </w:rPr>
              <w:br/>
              <w:t>- Ủy ban Tư pháp của Quốc hội (để giám sát);</w:t>
            </w:r>
            <w:r>
              <w:rPr>
                <w:rFonts w:ascii="Arial" w:hAnsi="Arial" w:cs="Arial"/>
                <w:color w:val="000000"/>
                <w:sz w:val="21"/>
                <w:szCs w:val="21"/>
              </w:rPr>
              <w:br/>
              <w:t>- Ủy ban về các vấn đề xã hội của Quốc hội (để giám sát);</w:t>
            </w:r>
            <w:r>
              <w:rPr>
                <w:rFonts w:ascii="Arial" w:hAnsi="Arial" w:cs="Arial"/>
                <w:color w:val="000000"/>
                <w:sz w:val="21"/>
                <w:szCs w:val="21"/>
              </w:rPr>
              <w:br/>
              <w:t>- Ủy ban Giáo dục thanh thiếu niên và nhi đồng của Quốc hội (để giám sát);</w:t>
            </w:r>
            <w:r>
              <w:rPr>
                <w:rFonts w:ascii="Arial" w:hAnsi="Arial" w:cs="Arial"/>
                <w:color w:val="000000"/>
                <w:sz w:val="21"/>
                <w:szCs w:val="21"/>
              </w:rPr>
              <w:br/>
              <w:t>- Ban Dân nguyện của Ủy ban Thường vụ Quốc hội (để giám sát);</w:t>
            </w:r>
            <w:r>
              <w:rPr>
                <w:rFonts w:ascii="Arial" w:hAnsi="Arial" w:cs="Arial"/>
                <w:color w:val="000000"/>
                <w:sz w:val="21"/>
                <w:szCs w:val="21"/>
              </w:rPr>
              <w:br/>
              <w:t>- Ban Nội chính Trung ương (để báo cáo);</w:t>
            </w:r>
            <w:r>
              <w:rPr>
                <w:rFonts w:ascii="Arial" w:hAnsi="Arial" w:cs="Arial"/>
                <w:color w:val="000000"/>
                <w:sz w:val="21"/>
                <w:szCs w:val="21"/>
              </w:rPr>
              <w:br/>
              <w:t>- Văn phòng Trung ương Đảng (để báo cáo);</w:t>
            </w:r>
            <w:r>
              <w:rPr>
                <w:rFonts w:ascii="Arial" w:hAnsi="Arial" w:cs="Arial"/>
                <w:color w:val="000000"/>
                <w:sz w:val="21"/>
                <w:szCs w:val="21"/>
              </w:rPr>
              <w:br/>
              <w:t>- Văn phòng Chủ tịch nước (để báo cáo);</w:t>
            </w:r>
            <w:r>
              <w:rPr>
                <w:rFonts w:ascii="Arial" w:hAnsi="Arial" w:cs="Arial"/>
                <w:color w:val="000000"/>
                <w:sz w:val="21"/>
                <w:szCs w:val="21"/>
              </w:rPr>
              <w:br/>
              <w:t>- Văn phòng Chính phủ 02 bản (để đăng Công báo);</w:t>
            </w:r>
            <w:r>
              <w:rPr>
                <w:rFonts w:ascii="Arial" w:hAnsi="Arial" w:cs="Arial"/>
                <w:color w:val="000000"/>
                <w:sz w:val="21"/>
                <w:szCs w:val="21"/>
              </w:rPr>
              <w:br/>
              <w:t>- Viện kiểm sát nhân dân tối cao (để phối hợp);</w:t>
            </w:r>
            <w:r>
              <w:rPr>
                <w:rFonts w:ascii="Arial" w:hAnsi="Arial" w:cs="Arial"/>
                <w:color w:val="000000"/>
                <w:sz w:val="21"/>
                <w:szCs w:val="21"/>
              </w:rPr>
              <w:br/>
              <w:t>- Bộ Tư pháp (để phối hợp);</w:t>
            </w:r>
            <w:r>
              <w:rPr>
                <w:rFonts w:ascii="Arial" w:hAnsi="Arial" w:cs="Arial"/>
                <w:color w:val="000000"/>
                <w:sz w:val="21"/>
                <w:szCs w:val="21"/>
              </w:rPr>
              <w:br/>
              <w:t>- Bộ Công an (để phối hợp);</w:t>
            </w:r>
            <w:r>
              <w:rPr>
                <w:rFonts w:ascii="Arial" w:hAnsi="Arial" w:cs="Arial"/>
                <w:color w:val="000000"/>
                <w:sz w:val="21"/>
                <w:szCs w:val="21"/>
              </w:rPr>
              <w:br/>
              <w:t>- Các TAND và TAQS các cấp (để thực hiện);</w:t>
            </w:r>
            <w:r>
              <w:rPr>
                <w:rFonts w:ascii="Arial" w:hAnsi="Arial" w:cs="Arial"/>
                <w:color w:val="000000"/>
                <w:sz w:val="21"/>
                <w:szCs w:val="21"/>
              </w:rPr>
              <w:br/>
              <w:t>- Các Thẩm phán và các đơn vị TANDTC (để thực hiện);</w:t>
            </w:r>
            <w:r>
              <w:rPr>
                <w:rFonts w:ascii="Arial" w:hAnsi="Arial" w:cs="Arial"/>
                <w:color w:val="000000"/>
                <w:sz w:val="21"/>
                <w:szCs w:val="21"/>
              </w:rPr>
              <w:br/>
              <w:t>- Cổng thông tin điện tử TANDTC (để đăng tải);</w:t>
            </w:r>
            <w:r>
              <w:rPr>
                <w:rFonts w:ascii="Arial" w:hAnsi="Arial" w:cs="Arial"/>
                <w:color w:val="000000"/>
                <w:sz w:val="21"/>
                <w:szCs w:val="21"/>
              </w:rPr>
              <w:br/>
              <w:t>- Lưu: VT, Vụ PC&amp;QLKH TANDTC.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EFA2E" w14:textId="77777777" w:rsidR="00257470" w:rsidRDefault="002574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HỘI ĐỒNG THẨM PHÁN</w:t>
            </w:r>
            <w:r>
              <w:rPr>
                <w:rFonts w:ascii="Arial" w:hAnsi="Arial" w:cs="Arial"/>
                <w:b/>
                <w:bCs/>
                <w:color w:val="000000"/>
                <w:sz w:val="21"/>
                <w:szCs w:val="21"/>
              </w:rPr>
              <w:br/>
            </w:r>
            <w:r>
              <w:rPr>
                <w:rStyle w:val="Strong"/>
                <w:rFonts w:ascii="Arial" w:hAnsi="Arial" w:cs="Arial"/>
                <w:color w:val="000000"/>
                <w:sz w:val="21"/>
                <w:szCs w:val="21"/>
              </w:rPr>
              <w:t>CHÁNH ÁN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Hòa Bình</w:t>
            </w:r>
          </w:p>
        </w:tc>
      </w:tr>
    </w:tbl>
    <w:p w14:paraId="7C8720B1" w14:textId="77777777" w:rsidR="00257470" w:rsidRDefault="00257470" w:rsidP="00257470">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&gt;&gt; </w:t>
      </w:r>
      <w:hyperlink r:id="rId7" w:tgtFrame="_blank" w:history="1">
        <w:r>
          <w:rPr>
            <w:rStyle w:val="Hyperlink"/>
            <w:rFonts w:ascii="Arial" w:hAnsi="Arial" w:cs="Arial"/>
            <w:b/>
            <w:bCs/>
            <w:color w:val="135ECD"/>
            <w:sz w:val="21"/>
            <w:szCs w:val="21"/>
          </w:rPr>
          <w:t>Luật sư tư vấn pháp luật Hình sự, gọi: </w:t>
        </w:r>
      </w:hyperlink>
      <w:hyperlink r:id="rId8" w:history="1">
        <w:r>
          <w:rPr>
            <w:rStyle w:val="Hyperlink"/>
            <w:rFonts w:ascii="Arial" w:hAnsi="Arial" w:cs="Arial"/>
            <w:b/>
            <w:bCs/>
            <w:color w:val="135ECD"/>
            <w:sz w:val="21"/>
            <w:szCs w:val="21"/>
          </w:rPr>
          <w:t>1900 6162</w:t>
        </w:r>
      </w:hyperlink>
    </w:p>
    <w:p w14:paraId="66FE2CB9" w14:textId="3F519F93"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đây là tư vấn của chúng tôi. Nếu còn vướng mắc, chưa rõ hoặc cần hỗ trợ pháp lý khác bạn vui lòng liên hệ bộ phận </w:t>
      </w:r>
      <w:hyperlink r:id="rId9" w:tgtFrame="_blank" w:history="1">
        <w:r>
          <w:rPr>
            <w:rStyle w:val="Hyperlink"/>
            <w:rFonts w:ascii="Arial" w:hAnsi="Arial" w:cs="Arial"/>
            <w:color w:val="135ECD"/>
            <w:sz w:val="21"/>
            <w:szCs w:val="21"/>
          </w:rPr>
          <w:t>tư vấn pháp luật trực tuyến qua tổng đài điện thoại</w:t>
        </w:r>
      </w:hyperlink>
      <w:r>
        <w:rPr>
          <w:rFonts w:ascii="Arial" w:hAnsi="Arial" w:cs="Arial"/>
          <w:color w:val="000000"/>
          <w:sz w:val="21"/>
          <w:szCs w:val="21"/>
        </w:rPr>
        <w:t> </w:t>
      </w:r>
      <w:r>
        <w:rPr>
          <w:rFonts w:ascii="Arial" w:hAnsi="Arial" w:cs="Arial"/>
          <w:color w:val="000000"/>
          <w:sz w:val="21"/>
          <w:szCs w:val="21"/>
        </w:rPr>
        <w:t xml:space="preserve">gọi ngay </w:t>
      </w:r>
      <w:r>
        <w:rPr>
          <w:rFonts w:ascii="Arial" w:hAnsi="Arial" w:cs="Arial"/>
          <w:color w:val="000000"/>
          <w:sz w:val="21"/>
          <w:szCs w:val="21"/>
        </w:rPr>
        <w:t>số: </w:t>
      </w:r>
      <w:hyperlink r:id="rId10" w:history="1">
        <w:r>
          <w:rPr>
            <w:rStyle w:val="Hyperlink"/>
            <w:rFonts w:ascii="Arial" w:hAnsi="Arial" w:cs="Arial"/>
            <w:b/>
            <w:bCs/>
            <w:color w:val="135ECD"/>
            <w:sz w:val="21"/>
            <w:szCs w:val="21"/>
          </w:rPr>
          <w:t>1900 6162</w:t>
        </w:r>
      </w:hyperlink>
      <w:r>
        <w:rPr>
          <w:rFonts w:ascii="Arial" w:hAnsi="Arial" w:cs="Arial"/>
          <w:color w:val="000000"/>
          <w:sz w:val="21"/>
          <w:szCs w:val="21"/>
        </w:rPr>
        <w:t> để được giải đáp.</w:t>
      </w:r>
    </w:p>
    <w:p w14:paraId="76192FF4" w14:textId="3B64D571" w:rsidR="00257470" w:rsidRDefault="00257470" w:rsidP="002574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 </w:t>
      </w:r>
    </w:p>
    <w:p w14:paraId="06870604" w14:textId="77777777" w:rsidR="00E91008" w:rsidRPr="00257470" w:rsidRDefault="00E91008" w:rsidP="00257470"/>
    <w:sectPr w:rsidR="00E91008" w:rsidRPr="00257470" w:rsidSect="008744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99E25" w14:textId="77777777" w:rsidR="00DE6A28" w:rsidRDefault="00DE6A28" w:rsidP="007446EA">
      <w:pPr>
        <w:spacing w:after="0" w:line="240" w:lineRule="auto"/>
      </w:pPr>
      <w:r>
        <w:separator/>
      </w:r>
    </w:p>
  </w:endnote>
  <w:endnote w:type="continuationSeparator" w:id="0">
    <w:p w14:paraId="28B88540" w14:textId="77777777" w:rsidR="00DE6A28" w:rsidRDefault="00DE6A2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FB68B" w14:textId="77777777" w:rsidR="00E01E68" w:rsidRDefault="00E01E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8CFC4"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1ADFB" w14:textId="77777777" w:rsidR="00E01E68" w:rsidRDefault="00E01E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4D9A5" w14:textId="77777777" w:rsidR="00DE6A28" w:rsidRDefault="00DE6A28" w:rsidP="007446EA">
      <w:pPr>
        <w:spacing w:after="0" w:line="240" w:lineRule="auto"/>
      </w:pPr>
      <w:r>
        <w:separator/>
      </w:r>
    </w:p>
  </w:footnote>
  <w:footnote w:type="continuationSeparator" w:id="0">
    <w:p w14:paraId="3A2C2CB6" w14:textId="77777777" w:rsidR="00DE6A28" w:rsidRDefault="00DE6A28"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F5284" w14:textId="77777777" w:rsidR="00E01E68" w:rsidRDefault="00E01E6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2E07D"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826CF"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A2456"/>
    <w:rsid w:val="000A2742"/>
    <w:rsid w:val="000D5BD9"/>
    <w:rsid w:val="00110D8A"/>
    <w:rsid w:val="00114A09"/>
    <w:rsid w:val="00117BAA"/>
    <w:rsid w:val="001C4B3C"/>
    <w:rsid w:val="001D3C1B"/>
    <w:rsid w:val="001E21A3"/>
    <w:rsid w:val="00220027"/>
    <w:rsid w:val="00257470"/>
    <w:rsid w:val="00266947"/>
    <w:rsid w:val="002C392D"/>
    <w:rsid w:val="002C6432"/>
    <w:rsid w:val="002E1BCF"/>
    <w:rsid w:val="003209C0"/>
    <w:rsid w:val="003C01DF"/>
    <w:rsid w:val="0043128C"/>
    <w:rsid w:val="00446973"/>
    <w:rsid w:val="004931F0"/>
    <w:rsid w:val="004D3FBC"/>
    <w:rsid w:val="004E401D"/>
    <w:rsid w:val="00606E03"/>
    <w:rsid w:val="00640271"/>
    <w:rsid w:val="00680C2F"/>
    <w:rsid w:val="006B4AB0"/>
    <w:rsid w:val="007446EA"/>
    <w:rsid w:val="00744A9F"/>
    <w:rsid w:val="00763D8A"/>
    <w:rsid w:val="00770BA3"/>
    <w:rsid w:val="007B275F"/>
    <w:rsid w:val="008744ED"/>
    <w:rsid w:val="00885DDD"/>
    <w:rsid w:val="008D6F0B"/>
    <w:rsid w:val="0097083C"/>
    <w:rsid w:val="009874E5"/>
    <w:rsid w:val="00A55569"/>
    <w:rsid w:val="00AC07C4"/>
    <w:rsid w:val="00AC69F4"/>
    <w:rsid w:val="00CE192F"/>
    <w:rsid w:val="00DE6A28"/>
    <w:rsid w:val="00DE7845"/>
    <w:rsid w:val="00E01E68"/>
    <w:rsid w:val="00E62B6D"/>
    <w:rsid w:val="00E820A2"/>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BA9B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E62B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712777549">
      <w:bodyDiv w:val="1"/>
      <w:marLeft w:val="0"/>
      <w:marRight w:val="0"/>
      <w:marTop w:val="0"/>
      <w:marBottom w:val="0"/>
      <w:divBdr>
        <w:top w:val="none" w:sz="0" w:space="0" w:color="auto"/>
        <w:left w:val="none" w:sz="0" w:space="0" w:color="auto"/>
        <w:bottom w:val="none" w:sz="0" w:space="0" w:color="auto"/>
        <w:right w:val="none" w:sz="0" w:space="0" w:color="auto"/>
      </w:divBdr>
    </w:div>
    <w:div w:id="1298486728">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5526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luatminhkhue.vn/toi-cuong-dam-theo-quy-dinh-cua-bo-luat-hinh-su-2015-sua-doi-bo-sung-2017.aspx" TargetMode="External"/><Relationship Id="rId7" Type="http://schemas.openxmlformats.org/officeDocument/2006/relationships/hyperlink" Target="https://luatminhkhue.vn/dich-vu-luat-su-tu-van-phap-luat-hinh-su-truc-tuyen-qua-tong-dai-dien-thoai-.aspx" TargetMode="External"/><Relationship Id="rId8" Type="http://schemas.openxmlformats.org/officeDocument/2006/relationships/hyperlink" Target="tel:19006162" TargetMode="External"/><Relationship Id="rId9" Type="http://schemas.openxmlformats.org/officeDocument/2006/relationships/hyperlink" Target="https://luatminhkhue.vn/so-dien-thoai-luat-su-tu-van-phap-luat-truc-tuyen-qua-tong-dai--.aspx" TargetMode="External"/><Relationship Id="rId10" Type="http://schemas.openxmlformats.org/officeDocument/2006/relationships/hyperlink" Target="tel:19006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2759</Words>
  <Characters>15729</Characters>
  <Application>Microsoft Macintosh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23</cp:revision>
  <dcterms:created xsi:type="dcterms:W3CDTF">2015-09-21T17:28:00Z</dcterms:created>
  <dcterms:modified xsi:type="dcterms:W3CDTF">2021-03-24T14:14:00Z</dcterms:modified>
</cp:coreProperties>
</file>