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4FE67" w14:textId="77777777" w:rsidR="00473BAF" w:rsidRDefault="00473BAF" w:rsidP="00473BAF">
      <w:pPr>
        <w:spacing w:after="0" w:line="240" w:lineRule="auto"/>
      </w:pPr>
    </w:p>
    <w:tbl>
      <w:tblPr>
        <w:tblW w:w="1032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45"/>
        <w:gridCol w:w="6981"/>
      </w:tblGrid>
      <w:tr w:rsidR="00473BAF" w14:paraId="576DCCDA" w14:textId="77777777" w:rsidTr="00473BAF">
        <w:trPr>
          <w:trHeight w:val="181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08285" w14:textId="77777777" w:rsidR="00473BAF" w:rsidRDefault="00473BAF">
            <w:pPr>
              <w:spacing w:line="37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p w14:paraId="03EBFEA3" w14:textId="77777777" w:rsidR="00473BAF" w:rsidRDefault="00473BAF">
            <w:pPr>
              <w:spacing w:line="37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16/2015/NĐ-CP</w:t>
              </w:r>
              <w:r>
                <w:rPr>
                  <w:rStyle w:val="apple-converted-space"/>
                  <w:rFonts w:ascii="Arial" w:hAnsi="Arial" w:cs="Arial"/>
                  <w:color w:val="135ECD"/>
                  <w:sz w:val="21"/>
                  <w:szCs w:val="21"/>
                </w:rPr>
                <w:t> </w:t>
              </w:r>
            </w:hyperlink>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47049" w14:textId="77777777" w:rsidR="00473BAF" w:rsidRDefault="00473BAF">
            <w:pPr>
              <w:spacing w:line="37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CA4556B" w14:textId="77777777" w:rsidR="00473BAF" w:rsidRDefault="00473BAF">
            <w:pPr>
              <w:spacing w:line="375" w:lineRule="atLeast"/>
              <w:jc w:val="center"/>
              <w:rPr>
                <w:rFonts w:ascii="Arial" w:hAnsi="Arial" w:cs="Arial"/>
                <w:color w:val="000000"/>
                <w:sz w:val="21"/>
                <w:szCs w:val="21"/>
              </w:rPr>
            </w:pPr>
            <w:r>
              <w:rPr>
                <w:rStyle w:val="Emphasis"/>
                <w:rFonts w:ascii="Arial" w:hAnsi="Arial" w:cs="Arial"/>
                <w:color w:val="000000"/>
                <w:sz w:val="21"/>
                <w:szCs w:val="21"/>
              </w:rPr>
              <w:t>Hà Nội, ngày 14 tháng 02 năm 2015</w:t>
            </w:r>
          </w:p>
        </w:tc>
      </w:tr>
    </w:tbl>
    <w:p w14:paraId="2A589F03"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4D90B6F"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CƠ CHẾ TỰ CHỦ CỦA ĐƠN VỊ SỰ NGHIỆP CÔNG LẬP</w:t>
      </w:r>
    </w:p>
    <w:p w14:paraId="359876E5"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3515F34D"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16 tháng 12 năm 2002;</w:t>
      </w:r>
    </w:p>
    <w:p w14:paraId="2623AF16"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Quản lý, sử dụng tài sản nhà nước ngày 03 tháng 6 năm 2008;</w:t>
      </w:r>
    </w:p>
    <w:p w14:paraId="420097DD"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Viên chức ngày 15 tháng 11 năm 2010;</w:t>
      </w:r>
    </w:p>
    <w:p w14:paraId="2BCECDF5"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Giá ngày 20 tháng 6 năm 2012;</w:t>
      </w:r>
    </w:p>
    <w:p w14:paraId="37BFED39"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58FC668B" w14:textId="77777777" w:rsidR="00473BAF" w:rsidRDefault="00473BAF" w:rsidP="00473BAF">
      <w:pPr>
        <w:spacing w:line="37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cơ chế tự chủ của đơn vị sự nghiệp công lập.</w:t>
      </w:r>
    </w:p>
    <w:p w14:paraId="65F6BD3B" w14:textId="77777777" w:rsidR="00473BAF" w:rsidRDefault="00473BAF" w:rsidP="00473BAF">
      <w:pPr>
        <w:spacing w:line="375" w:lineRule="atLeast"/>
        <w:jc w:val="both"/>
        <w:rPr>
          <w:rFonts w:ascii="Arial" w:hAnsi="Arial" w:cs="Arial"/>
          <w:color w:val="000000"/>
          <w:sz w:val="21"/>
          <w:szCs w:val="21"/>
        </w:rPr>
      </w:pPr>
    </w:p>
    <w:p w14:paraId="45C67F5D"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B10E115"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197DBB8" w14:textId="77777777" w:rsidR="00473BAF" w:rsidRDefault="00473BAF" w:rsidP="00473BAF">
      <w:pPr>
        <w:spacing w:line="375" w:lineRule="atLeast"/>
        <w:jc w:val="center"/>
        <w:rPr>
          <w:rFonts w:ascii="Arial" w:hAnsi="Arial" w:cs="Arial"/>
          <w:color w:val="000000"/>
          <w:sz w:val="21"/>
          <w:szCs w:val="21"/>
        </w:rPr>
      </w:pPr>
    </w:p>
    <w:p w14:paraId="39D4C356"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2569B8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Nghị định này quy định các nguyên tắc, quy định chung về cơ chế tự chủ của đơn vị sự nghiệp công lập trong các lĩnh vực: Giáo dục đào tạo; dạy nghề; y tế; văn hóa, thể thao và du lịch; thông tin truyền thông và báo chí; khoa học và công nghệ; sự nghiệp kinh tế và sự nghiệp khác.</w:t>
      </w:r>
    </w:p>
    <w:p w14:paraId="3F9859F6" w14:textId="77777777" w:rsidR="00473BAF" w:rsidRDefault="00473BAF" w:rsidP="00473BAF">
      <w:pPr>
        <w:spacing w:line="375" w:lineRule="atLeast"/>
        <w:jc w:val="both"/>
        <w:rPr>
          <w:rFonts w:ascii="Arial" w:hAnsi="Arial" w:cs="Arial"/>
          <w:color w:val="000000"/>
          <w:sz w:val="21"/>
          <w:szCs w:val="21"/>
        </w:rPr>
      </w:pPr>
    </w:p>
    <w:p w14:paraId="52C011C0"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D75D55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1. Đơn vị sự nghiệp công lập do cơ quan có thẩm quyền của Nhà nước thành lập theo quy định của pháp luật, có tư cách pháp nhân, cung cấp dịch vụ công, phục vụ quản lý nhà nước (sau đây gọi là đơn vị sự nghiệp công).</w:t>
      </w:r>
    </w:p>
    <w:p w14:paraId="1C86DF6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Đơn vị sự nghiệp công trực thuộc Bộ Quốc phòng, Bộ Công an, tổ chức chính trị, tổ chức chính trị - xã hội áp dụng các quy định tại Nghị định này và các quy định của pháp luật khác có liên quan.</w:t>
      </w:r>
    </w:p>
    <w:p w14:paraId="7D350FA3" w14:textId="77777777" w:rsidR="00473BAF" w:rsidRDefault="00473BAF" w:rsidP="00473BAF">
      <w:pPr>
        <w:spacing w:line="375" w:lineRule="atLeast"/>
        <w:jc w:val="both"/>
        <w:rPr>
          <w:rFonts w:ascii="Arial" w:hAnsi="Arial" w:cs="Arial"/>
          <w:color w:val="000000"/>
          <w:sz w:val="21"/>
          <w:szCs w:val="21"/>
        </w:rPr>
      </w:pPr>
    </w:p>
    <w:p w14:paraId="77A5DA45"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0B3853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720AB4C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“Cơ chế tự chủ của đơn vị sự nghiệp công” là các quy định về quyền tự chủ, tự chịu trách nhiệm trong việc thực hiện nhiệm vụ, tổ chức bộ máy, nhân sự và tài chính của đơn vị sự nghiệp công.</w:t>
      </w:r>
    </w:p>
    <w:p w14:paraId="1FC6CED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“Dịch vụ sự nghiệp công” là dịch vụ sự nghiệp trong các lĩnh vực giáo dục đào tạo; dạy nghề; y tế; văn hóa, thể thao và du lịch; thông tin truyền thông và báo chí; khoa học và công nghệ; sự nghiệp kinh tế và sự nghiệp khác.</w:t>
      </w:r>
    </w:p>
    <w:p w14:paraId="28F950E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“Dịch vụ sự nghiệp công sử dụng kinh phí ngân sách nhà nước” là dịch vụ sự nghiệp công mà Nhà nước bảo đảm toàn bộ chi phí hoặc dịch vụ sự nghiệp công chưa tính đủ chi phí trong giá, phí, được ngân sách nhà nước hỗ trợ.</w:t>
      </w:r>
    </w:p>
    <w:p w14:paraId="7FA1054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“Dịch vụ sự nghiệp công không sử dụng kinh phí ngân sách nhà nước” là dịch vụ sự nghiệp công có điều kiện xã hội hóa cao, Nhà nước không bao cấp, giá dịch vụ sự nghiệp công theo cơ chế thị trường.</w:t>
      </w:r>
    </w:p>
    <w:p w14:paraId="5F55704E" w14:textId="77777777" w:rsidR="00473BAF" w:rsidRDefault="00473BAF" w:rsidP="00473BAF">
      <w:pPr>
        <w:spacing w:line="375" w:lineRule="atLeast"/>
        <w:jc w:val="both"/>
        <w:rPr>
          <w:rFonts w:ascii="Arial" w:hAnsi="Arial" w:cs="Arial"/>
          <w:color w:val="000000"/>
          <w:sz w:val="21"/>
          <w:szCs w:val="21"/>
        </w:rPr>
      </w:pPr>
    </w:p>
    <w:p w14:paraId="6BC23A9F"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4. Quản lý nhà nước đối với dịch vụ sự nghiệp công và đơn vị sự nghiệp công</w:t>
      </w:r>
    </w:p>
    <w:p w14:paraId="154FE13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Xây dựng pháp luật về quản lý nhà nước đối với dịch vụ sự nghiệp công và đơn vị sự nghiệp công; khuyến khích, tạo điều kiện, thiết lập môi trường hoạt động bình đẳng, cạnh tranh cho các tổ chức, cá nhân thuộc mọi thành phần kinh tế tham gia cung cấp dịch vụ sự nghiệp công.</w:t>
      </w:r>
    </w:p>
    <w:p w14:paraId="3480EE8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Quy hoạch mạng lưới các đơn vị sự nghiệp công theo ngành, lĩnh vực; danh mục dịch vụ sự nghiệp công sử dụng ngân sách nhà nước; ban hành định mức kinh tế - kỹ thuật áp dụng trong các lĩnh vực dịch vụ sự nghiệp công do Nhà nước quản lý; quy định về đấu thầu, đặt hàng, giao nhiệm vụ cung ứng dịch vụ sự nghiệp công.</w:t>
      </w:r>
    </w:p>
    <w:p w14:paraId="514C67B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3. Quy định tiêu chí, tiêu chuẩn chất lượng dịch vụ sự nghiệp công; cơ chế giám sát, đánh giá, kiểm định chất lượng dịch vụ sự nghiệp công, hiệu quả hoạt động của đơn vị sự nghiệp công.</w:t>
      </w:r>
    </w:p>
    <w:p w14:paraId="7B32F4A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Quy định lộ trình tính đủ giá, phí để đơn vị sự nghiệp công thực hiện và hỗ trợ trực tiếp cho các đối tượng chính sách sử dụng dịch vụ sự nghiệp công.</w:t>
      </w:r>
    </w:p>
    <w:p w14:paraId="6CE06E1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5. Quy định trình tự, thủ tục thành lập, tổ chức lại, giải thể và điều kiện tổ chức, hoạt động của đơn vị sự nghiệp công; sắp xếp, chuyển đổi các đơn vị sự nghiệp công theo quy hoạch đã được cấp có thẩm quyền phê duyệt; giao quyền tự chủ đối với các đơn vị sự nghiệp công trực thuộc.</w:t>
      </w:r>
    </w:p>
    <w:p w14:paraId="78ECC79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6. Quy định về chuyển đổi đơn vị sự nghiệp công sang đơn vị sự nghiệp ngoài công lập hoặc doanh nghiệp.</w:t>
      </w:r>
    </w:p>
    <w:p w14:paraId="2EB0E3B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7. Ban hành cơ chế, chính sách khuyến khích xã hội hóa các hoạt động dịch vụ sự nghiệp công.</w:t>
      </w:r>
    </w:p>
    <w:p w14:paraId="531C957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8. Thanh tra, kiểm tra, xử phạt vi phạm trong hoạt động cung ứng dịch vụ sự nghiệp công.</w:t>
      </w:r>
    </w:p>
    <w:p w14:paraId="0A9E8944" w14:textId="77777777" w:rsidR="00473BAF" w:rsidRDefault="00473BAF" w:rsidP="00473BAF">
      <w:pPr>
        <w:spacing w:line="375" w:lineRule="atLeast"/>
        <w:jc w:val="both"/>
        <w:rPr>
          <w:rFonts w:ascii="Arial" w:hAnsi="Arial" w:cs="Arial"/>
          <w:color w:val="000000"/>
          <w:sz w:val="21"/>
          <w:szCs w:val="21"/>
        </w:rPr>
      </w:pPr>
    </w:p>
    <w:p w14:paraId="7F04AE6C"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1A45254" w14:textId="77777777" w:rsidR="00473BAF" w:rsidRDefault="00473BAF" w:rsidP="00473BAF">
      <w:pPr>
        <w:spacing w:line="375" w:lineRule="atLeast"/>
        <w:jc w:val="center"/>
        <w:rPr>
          <w:rFonts w:ascii="Arial" w:hAnsi="Arial" w:cs="Arial"/>
          <w:color w:val="000000"/>
          <w:sz w:val="21"/>
          <w:szCs w:val="21"/>
        </w:rPr>
      </w:pPr>
      <w:r>
        <w:rPr>
          <w:rStyle w:val="Strong"/>
          <w:rFonts w:ascii="Arial" w:hAnsi="Arial" w:cs="Arial"/>
          <w:color w:val="000000"/>
          <w:sz w:val="21"/>
          <w:szCs w:val="21"/>
        </w:rPr>
        <w:t>CƠ CHẾ TỰ CHỦ CỦA ĐƠN VỊ SỰ NGHIỆP CÔNG</w:t>
      </w:r>
    </w:p>
    <w:p w14:paraId="47F74C56"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Mục 1: TỰ CHỦ VỀ THỰC HIỆN NHIỆM VỤ, TỔ CHỨC BỘ MÁY VÀ NHÂN SỰ</w:t>
      </w:r>
    </w:p>
    <w:p w14:paraId="753867C4"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5. Tự chủ về thực hiện nhiệm vụ</w:t>
      </w:r>
    </w:p>
    <w:p w14:paraId="0FF1B2F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Tự chủ trong xây dựng kế hoạch</w:t>
      </w:r>
    </w:p>
    <w:p w14:paraId="466B121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Kế hoạch thực hiện nhiệm vụ của đơn vị sự nghiệp công bao gồm phần kế hoạch do đơn vị tự xác định phù hợp với chức năng, nhiệm vụ, năng lực của đơn vị theo quy định của pháp luật và phần kế hoạch theo chức năng, nhiệm vụ được giao.</w:t>
      </w:r>
    </w:p>
    <w:p w14:paraId="14A1887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Đối với dịch vụ sự nghiệp công không sử dụng kinh phí ngân sách nhà nước: Đơn vị sự nghiệp công tự xây dựng kế hoạch thực hiện nhiệm vụ, báo cáo cơ quan quản lý cấp trên để theo dõi, kiểm tra và giám sát việc thực hiện;</w:t>
      </w:r>
    </w:p>
    <w:p w14:paraId="13FE33F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Đối với dịch vụ sự nghiệp công sử dụng kinh phí ngân sách nhà nước: Đơn vị sự nghiệp công xây dựng kế hoạch thực hiện nhiệm vụ báo cáo cơ quan quản lý cấp trên để phê duyệt và quyết định phương thức giao kế hoạch cho đơn vị thực hiện.</w:t>
      </w:r>
    </w:p>
    <w:p w14:paraId="1A1BB38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2. Tự chủ về tổ chức thực hiện nhiệm vụ</w:t>
      </w:r>
    </w:p>
    <w:p w14:paraId="33C2984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Quyết định các biện pháp thực hiện nhiệm vụ theo kế hoạch của đơn vị, kế hoạch của cơ quan quản lý cấp trên giao, đảm bảo chất lượng, tiến độ;</w:t>
      </w:r>
    </w:p>
    <w:p w14:paraId="4B59E1D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Tham gia đấu thầu cung ứng các dịch vụ sự nghiệp công phù hợp với lĩnh vực chuyên môn của đơn vị được cấp có thẩm quyền giao;</w:t>
      </w:r>
    </w:p>
    <w:p w14:paraId="523AF35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Liên doanh, liên kết với các tổ chức, cá nhân để hoạt động dịch vụ đáp ứng nhu cầu của xã hội theo quy định của pháp luật.</w:t>
      </w:r>
    </w:p>
    <w:p w14:paraId="3A9532F5" w14:textId="77777777" w:rsidR="00473BAF" w:rsidRDefault="00473BAF" w:rsidP="00473BAF">
      <w:pPr>
        <w:spacing w:line="375" w:lineRule="atLeast"/>
        <w:jc w:val="both"/>
        <w:rPr>
          <w:rFonts w:ascii="Arial" w:hAnsi="Arial" w:cs="Arial"/>
          <w:color w:val="000000"/>
          <w:sz w:val="21"/>
          <w:szCs w:val="21"/>
        </w:rPr>
      </w:pPr>
    </w:p>
    <w:p w14:paraId="08D0B441"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6. Tự chủ về tổ chức bộ máy</w:t>
      </w:r>
    </w:p>
    <w:p w14:paraId="499FCD8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Đơn vị sự nghiệp công 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14:paraId="129C521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Riêng đơn vị sự nghiệp công tự bảo đảm một phần chi thường xuyên và đơn vị sự nghiệp công do ngân sách nhà nước bảo đảm chi thường xuyên: Xây dựng phương án sắp xếp, kiện toàn cơ cấu tổ chức của đơn vị trình cơ quan có thẩm quyền quyết định.</w:t>
      </w:r>
    </w:p>
    <w:p w14:paraId="12060FF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7. Tự chủ về nhân sự</w:t>
      </w:r>
    </w:p>
    <w:p w14:paraId="0D9FB89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Đơn vị sự nghiệp công xây dựng vị trí việc làm và cơ cấu viên chức theo chức danh nghề nghiệp trình cấp có thẩm quyền phê duyệt; tuyển dụng, sử dụng, bổ nhiệm, miễn nhiệm, khen thưởng, kỷ luật và quản lý viên chức, người lao động theo quy định của pháp luật; thuê hợp đồng lao động để thực hiện nhiệm vụ.</w:t>
      </w:r>
    </w:p>
    <w:p w14:paraId="43788F3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Đơn vị sự nghiệp công tự bảo đảm chi thường xuyên và chi đầu tư và đơn vị sự nghiệp công tự bảo đảm chi thường xuyên quyết định số lượng người làm việc; đơn vị sự nghiệp công tự bảo đảm một phần chi thường xuyên đề xuất số lượng người làm việc của đơn vị trình cơ quan có thẩm quyền quyết định; đơn vị sự nghiệp công do ngân sách nhà nước bảo đảm chi thường xuyên đề xuất số lượng người làm việc trên cơ sở định biên bình quân 05 năm trước và không cao hơn số định biên hiện có của đơn vị, trình cơ quan có thẩm quyền quyết định (đối với các đơn vị sự nghiệp công mới thành lập, thời gian hoạt động chưa đủ 05 năm thì tính bình quân cả quá trình hoạt động).</w:t>
      </w:r>
    </w:p>
    <w:p w14:paraId="031AB9C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2. Trường hợp đơn vị sự nghiệp công chưa xây dựng được vị trí việc làm và cơ cấu viên chức theo chức danh nghề nghiệp, số lượng người làm việc được xác định trên cơ sở định biên bình quân các năm trước theo hướng dẫn của Bộ Nội vụ.</w:t>
      </w:r>
    </w:p>
    <w:p w14:paraId="3354B7E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8. Hội đồng quản lý</w:t>
      </w:r>
    </w:p>
    <w:p w14:paraId="541F881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Đơn vị sự nghiệp công tự bảo đảm chi thường xuyên và chi đầu tư phải thành lập Hội đồng quản lý để quyết định những vấn đề quan trọng trong quá trình hoạt động của đơn vị.</w:t>
      </w:r>
    </w:p>
    <w:p w14:paraId="58B39D4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Căn cứ vào điều kiện cụ thể, yêu cầu quản lý và pháp luật chuyên ngành, trường hợp cần thiết, các Bộ, cơ quan ngang Bộ, cơ quan thuộc Chính phủ (sau đây gọi tắt là các Bộ, cơ quan Trung ương), Ủy ban nhân dân tỉnh, thành phố trực thuộc Trung ương (sau đây gọi tắt là Ủy ban nhân dân cấp tỉnh) quy định việc thành lập Hội đồng quản lý đối với các đơn vị sự nghiệp công không thuộc quy định tại Khoản 1 Điều này.</w:t>
      </w:r>
    </w:p>
    <w:p w14:paraId="7DA6D52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Hội đồng quản lý quyết định về chiến lược, kế hoạch trung hạn và hàng năm của đơn vị; quyết định chủ trương đầu tư mở rộng hoạt động, thành lập, tổ chức lại, giải thể các đơn vị trực thuộc; quyết định chủ trương lớn về tổ chức, nhân sự (bổ nhiệm, khen thưởng, kỷ luật viên chức; riêng về số lượng người làm việc thực hiện theo quy định tại Điều 7 Nghị định này); thông qua quy chế tổ chức và hoạt động của đơn vị để trình cấp có thẩm quyền quyết định; thông qua báo cáo quyết toán tài chính hàng năm, thực hiện kiểm tra, giám sát việc thực hiện kế hoạch, việc triển khai quy chế dân chủ, quyết định các vấn đề quan trọng khác của đơn vị theo quy định của pháp luật.</w:t>
      </w:r>
    </w:p>
    <w:p w14:paraId="044D651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Hội đồng quản lý có từ 05 đến 11 thành viên; Chủ tịch và các thành viên của Hội đồng quản lý do cơ quan có thẩm quyền quyết định thành lập đơn vị bổ nhiệm; Hội đồng quản lý có đại diện của cơ quan quản lý cấp trên.</w:t>
      </w:r>
    </w:p>
    <w:p w14:paraId="282BBDF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5. Thủ tục thành lập, vị trí, chức năng, nhiệm vụ, quyền hạn, cơ cấu tổ chức và phê duyệt quy chế hoạt động của Hội đồng quản lý trong đơn vị sự nghiệp công, mối quan hệ giữa Hội đồng quản lý với người đứng đầu đơn vị sự nghiệp công và cơ quan quản lý cấp trên theo hướng dẫn của Bộ Nội vụ.</w:t>
      </w:r>
    </w:p>
    <w:p w14:paraId="312325F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Mục 2: GIÁ, PHÍ DỊCH VỤ SỰ NGHIỆP CÔNG</w:t>
      </w:r>
    </w:p>
    <w:p w14:paraId="2C75276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9. Giá, phí dịch vụ sự nghiệp công</w:t>
      </w:r>
    </w:p>
    <w:p w14:paraId="2575D27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Giá dịch vụ sự nghiệp công</w:t>
      </w:r>
    </w:p>
    <w:p w14:paraId="3417171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Dịch vụ sự nghiệp công không sử dụng kinh phí ngân sách nhà nước</w:t>
      </w:r>
    </w:p>
    <w:p w14:paraId="74DD7F4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 Đơn vị sự nghiệp công được xác định giá dịch vụ sự nghiệp công theo cơ chế thị trường, được quyết định các khoản thu, mức thu bảo đảm bù đắp chi phí hợp lý, có tích lũy theo quy định của pháp luật đối với từng lĩnh vực;</w:t>
      </w:r>
    </w:p>
    <w:p w14:paraId="7067DFC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Riêng dịch vụ khám bệnh, chữa bệnh và dịch vụ giáo dục, đào tạo tại cơ sở khám bệnh, chữa bệnh, cơ sở giáo dục, đào tạo của Nhà nước thực hiện theo quy định pháp luật về giá.</w:t>
      </w:r>
    </w:p>
    <w:p w14:paraId="5C00457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Dịch vụ sự nghiệp công sử dụng kinh phí ngân sách nhà nước</w:t>
      </w:r>
    </w:p>
    <w:p w14:paraId="1176737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Giá dịch vụ sự nghiệp công được xác định trên cơ sở định mức kinh tế - kỹ thuật, định mức chi phí do cơ quan có thẩm quyền ban hành và lộ trình tính đủ chi phí theo quy định tại Điều 10 Nghị định này, trong đó chi phí tiền lương trong giá dịch vụ sự nghiệp công tính theo mức lương cơ sở, hệ số tiền lương ngạch, bậc, chức vụ đối với đơn vị sự nghiệp công và định mức lao động do các Bộ, cơ quan Trung ương, Ủy ban nhân dân cấp tỉnh ban hành theo thẩm quyền;</w:t>
      </w:r>
    </w:p>
    <w:p w14:paraId="0837CE9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Phương pháp định giá và cơ quan có thẩm quyền định giá dịch vụ sự nghiệp công thực hiện theo quy định pháp luật về giá;</w:t>
      </w:r>
    </w:p>
    <w:p w14:paraId="5FFDE34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Trong phạm vi khung giá dịch vụ sự nghiệp công do cơ quan nhà nước có thẩm quyền quy định, đơn vị sự nghiệp công quyết định mức giá cụ thể cho từng loại dịch vụ; trường hợp cơ quan nhà nước có thẩm quyền quy định cụ thể giá dịch vụ sự nghiệp công, đơn vị thu theo mức giá quy định.</w:t>
      </w:r>
    </w:p>
    <w:p w14:paraId="2A04116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Phí dịch vụ sự nghiệp công</w:t>
      </w:r>
    </w:p>
    <w:p w14:paraId="791B64C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Dịch vụ sự nghiệp công thuộc danh mục thu phí thực hiện theo quy định pháp luật về phí, lệ phí. Đơn vị sự nghiệp công được thu phí theo mức thu do cơ quan nhà nước có thẩm quyền quy định.</w:t>
      </w:r>
    </w:p>
    <w:p w14:paraId="2AF5ABB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10. Lộ trình tính giá dịch vụ sự nghiệp công sử dụng kinh phí ngân sách nhà nước</w:t>
      </w:r>
    </w:p>
    <w:p w14:paraId="2DC85BC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Lộ trình tính giá dịch vụ sự nghiệp công</w:t>
      </w:r>
    </w:p>
    <w:p w14:paraId="7A7596C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Đến năm 2016: Tính đủ chi phí tiền lương, chi phí trực tiếp (chưa tính chi phí quản lý và chi phí khấu hao tài sản cố định);</w:t>
      </w:r>
    </w:p>
    <w:p w14:paraId="0C26B7C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Đến năm 2018: Tính đủ chi phí tiền lương, chi phí trực tiếp và chi phí quản lý (chưa tính chi phí khấu hao tài sản cố định);</w:t>
      </w:r>
    </w:p>
    <w:p w14:paraId="4463F7A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Đến năm 2020: Tính đủ chi phí tiền lương, chi phí trực tiếp, chi phí quản lý và chi phí khấu hao tài sản cố định.</w:t>
      </w:r>
    </w:p>
    <w:p w14:paraId="4A2160C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2. Căn cứ vào tình hình thực tế, các đơn vị sự nghiệp công được thực hiện trước lộ trình giá dịch vụ sự nghiệp công quy định tại Khoản 1 Điều này.</w:t>
      </w:r>
    </w:p>
    <w:p w14:paraId="7D8B276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Các Bộ, cơ quan Trung ương, Ủy ban nhân dân cấp tỉnh căn cứ quy định về giá dịch vụ sự nghiệp công tại Khoản 1 Điều 9 Nghị định này, khả năng cân đối ngân sách nhà nước và khả năng chi trả của người hưởng thụ, quy định lộ trình tính giá dịch vụ sự nghiệp công trình cấp có thẩm quyền ban hành hoặc ban hành theo thẩm quyền.</w:t>
      </w:r>
    </w:p>
    <w:p w14:paraId="5E72BA0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11. Danh mục dịch vụ sự nghiệp công sử dụng ngân sách nhà nước</w:t>
      </w:r>
    </w:p>
    <w:p w14:paraId="7258BB2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Danh mục dịch vụ sự nghiệp công sử dụng ngân sách nhà nước do cơ quan nhà nước có thẩm quyền ban hành:</w:t>
      </w:r>
    </w:p>
    <w:p w14:paraId="51116C2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xác định danh mục dịch vụ sự nghiệp công sử dụng ngân sách nhà nước của ngành, lĩnh vực quản lý trình Thủ tướng Chính phủ quy định, sau khi có ý kiến của Bộ Tài chính, Bộ Kế hoạch và Đầu tư;</w:t>
      </w:r>
    </w:p>
    <w:p w14:paraId="246E5CF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danh mục dịch vụ sự nghiệp công sử dụng ngân sách nhà nước theo phân cấp thuộc phạm vi quản lý của địa phương (trừ danh mục dịch vụ sự nghiệp công Thủ tướng Chính phủ ban hành tại Điểm a Khoản 1 Điều này).</w:t>
      </w:r>
    </w:p>
    <w:p w14:paraId="38F08EC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Căn cứ danh mục dịch vụ sự nghiệp công quy định tại Khoản 1 Điều này, các Bộ, cơ quan Trung ương, Ủy ban nhân dân cấp tỉnh quyết định hoặc phân cấp cho cơ quan cấp dưới lựa chọn đơn vị sự nghiệp công để cung ứng dịch vụ sự nghiệp công theo hình thức giao nhiệm vụ, đặt hàng hoặc đấu thầu theo quy định.</w:t>
      </w:r>
    </w:p>
    <w:p w14:paraId="7FA21A1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Mục 3: TỰ CHỦ VỀ TÀI CHÍNH</w:t>
      </w:r>
    </w:p>
    <w:p w14:paraId="08D0E91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12. Tự chủ tài chính đối với đơn vị sự nghiệp công tự bảo đảm chi thường xuyên và chi đầu tư</w:t>
      </w:r>
    </w:p>
    <w:p w14:paraId="518AB1F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Nguồn tài chính của đơn vị</w:t>
      </w:r>
    </w:p>
    <w:p w14:paraId="50D9C9F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Nguồn thu từ hoạt động dịch vụ sự nghiệp công, bao gồm cả nguồn ngân sách nhà nước đặt hàng cung cấp dịch vụ sự nghiệp công theo giá tính đủ chi phí;</w:t>
      </w:r>
    </w:p>
    <w:p w14:paraId="4E26BB6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Nguồn thu phí theo pháp luật về phí, lệ phí được để lại chi theo quy định (phần được để lại chi thường xuyên và chi mua sắm, sửa chữa lớn trang thiết bị, tài sản phục vụ công tác thu phí);</w:t>
      </w:r>
    </w:p>
    <w:p w14:paraId="3EF0967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Nguồn thu khác theo quy định của pháp luật (nếu có);</w:t>
      </w:r>
    </w:p>
    <w:p w14:paraId="2EC84B1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d) Nguồn ngân sách nhà nước cấp cho các nhiệm vụ không thường xuyên (nếu có), gồm: Kinh phí thực hiện nhiệm vụ khoa học và công nghệ (đối với đơn vị không phải là tổ chức khoa học công nghệ); kinh phí các chương trình mục tiêu quốc gia; chương trình, dự án, đề án khác; kinh phí đối ứng thực hiện các dự án theo quyết định của cấp có thẩm quyền; vốn đầu tư phát triển; kinh phí mua sắm trang thiết bị phục vụ hoạt động sự nghiệp theo dự án được cấp có thẩm quyền phê duyệt; kinh phí thực hiện nhiệm vụ đột xuất được cơ quan có thẩm quyền giao;</w:t>
      </w:r>
    </w:p>
    <w:p w14:paraId="54F5634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 Nguồn vốn vay, viện trợ, tài trợ theo quy định của pháp luật.</w:t>
      </w:r>
    </w:p>
    <w:p w14:paraId="64EDB3C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Sử dụng nguồn tài chính</w:t>
      </w:r>
    </w:p>
    <w:p w14:paraId="0E16496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Chi đầu tư từ Quỹ phát triển hoạt động sự nghiệp, nguồn vốn vay và các nguồn tài chính hợp pháp khác.</w:t>
      </w:r>
    </w:p>
    <w:p w14:paraId="080B078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Căn cứ nhu cầu đầu tư và khả năng cân đối các nguồn tài chính, đơn vị chủ động xây dựng danh mục các dự án đầu tư, báo cáo cơ quan có thẩm quyền phê duyệt. Trên cơ sở danh mục dự án đầu tư đã được phê duyệt, đơn vị quyết định dự án đầu tư, bao gồm các nội dung về quy mô, phương án xây dựng, tổng mức vốn, nguồn vốn, phân kỳ thời gian triển khai theo quy định của pháp luật về đầu tư.</w:t>
      </w:r>
    </w:p>
    <w:p w14:paraId="2A2BA8D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Đơn vị sự nghiệp công được vay vốn tín dụng ưu đãi của Nhà nước hoặc được hỗ trợ lãi suất cho các dự án đầu tư sử dụng vốn vay của các tổ chức tín dụng theo quy định.</w:t>
      </w:r>
    </w:p>
    <w:p w14:paraId="67F93D2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Căn cứ yêu cầu phát triển của đơn vị, Nhà nước xem xét bố trí vốn cho các dự án đầu tư đang triển khai, các dự án đầu tư khác theo quyết định của cấp có thẩm quyền.</w:t>
      </w:r>
    </w:p>
    <w:p w14:paraId="5FAC2DC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Chi thường xuyên: Đơn vị được chủ động sử dụng các nguồn tài chính giao tự chủ quy định tại Điểm a, Điểm b (phần được để lại chi thường xuyên) và Điểm c Khoản 1 Điều này để chi thường xuyên. Một số nội dung chi được quy định như sau:</w:t>
      </w:r>
    </w:p>
    <w:p w14:paraId="6B65FE7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nguồn thu của đơn vị (ngân sách nhà nước không cấp bổ sung).</w:t>
      </w:r>
    </w:p>
    <w:p w14:paraId="42E10CA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hoạt động chuyên môn, chi quản lý</w:t>
      </w:r>
    </w:p>
    <w:p w14:paraId="4EAE42D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Đối với các nội dung chi đã có định mức chi theo quy định của cơ quan nhà nước có thẩm quyền: Căn cứ vào khả năng tài chính, đơn vị được quyết định mức chi cao hơn hoặc thấp hơn mức chi do cơ quan nhà nước có thẩm quyền ban hành và quy định trong quy chế chi tiêu nội bộ của đơn vị;</w:t>
      </w:r>
    </w:p>
    <w:p w14:paraId="0E4747D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Đối với các nội dung chi chưa có định mức chi theo quy định của cơ quan nhà nước có thẩm quyền: Căn cứ tình hình thực tế, đơn vị xây dựng mức chi cho phù hợp theo quy chế chi tiêu nội bộ và phải chịu trách nhiệm về quyết định của mình.</w:t>
      </w:r>
    </w:p>
    <w:p w14:paraId="5F9ACD4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khấu hao tài sản cố định theo quy định. Tiền trích khấu hao tài sản hình thành từ nguồn vốn ngân sách nhà nước hoặc có nguồn gốc từ ngân sách được hạch toán vào Quỹ phát triển hoạt động sự nghiệp.</w:t>
      </w:r>
    </w:p>
    <w:p w14:paraId="50C1168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d và Điểm đ Khoản 1 Điều này.</w:t>
      </w:r>
    </w:p>
    <w:p w14:paraId="1A89D95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 Đơn vị sự nghiệp công phải thực hiện đúng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35639D1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Phân phối kết quả tài chính trong năm</w:t>
      </w:r>
    </w:p>
    <w:p w14:paraId="498E8E4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Hàng năm, sau khi hạch toán đầy đủ các khoản chi phí, nộp thuế và các khoản nộp ngân sách nhà nước khác (nếu có) theo quy định, phần chênh lệch thu lớn hơn chi thường xuyên (nếu có), đơn vị được sử dụng theo trình tự như sau:</w:t>
      </w:r>
    </w:p>
    <w:p w14:paraId="7CF58E4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tối thiểu 25% để lập Quỹ phát triển hoạt động sự nghiệp;</w:t>
      </w:r>
    </w:p>
    <w:p w14:paraId="73608BD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bổ sung thu nhập: Đơn vị được tự quyết định mức trích Quỹ bổ sung thu nhập (không khống chế mức trích);</w:t>
      </w:r>
    </w:p>
    <w:p w14:paraId="59E0B02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khen thưởng và Quỹ phúc lợi tối đa không quá 3 tháng tiền lương, tiền công thực hiện trong năm của đơn vị;</w:t>
      </w:r>
    </w:p>
    <w:p w14:paraId="1BD2E9A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khác theo quy định của pháp luật;</w:t>
      </w:r>
    </w:p>
    <w:p w14:paraId="0559FCC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Phần chênh lệch thu lớn hơn chi còn lại (nếu có) sau khi đã trích lập các quỹ theo quy định được bổ sung vào Quỹ phát triển hoạt động sự nghiệp.</w:t>
      </w:r>
    </w:p>
    <w:p w14:paraId="6842A9E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Sử dụng các Quỹ</w:t>
      </w:r>
    </w:p>
    <w:p w14:paraId="607D777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xml:space="preserve">- Quỹ phát triển hoạt động sự nghiệp: Để đầu tư xây dựng cơ sở vật chất, mua sắm trang thiết bị, phương tiện làm việc; phát triển năng lực hoạt động sự nghiệp; chi áp dụng tiến bộ khoa học kỹ </w:t>
      </w:r>
      <w:r>
        <w:rPr>
          <w:rFonts w:ascii="Arial" w:hAnsi="Arial" w:cs="Arial"/>
          <w:color w:val="000000"/>
          <w:sz w:val="21"/>
          <w:szCs w:val="21"/>
        </w:rPr>
        <w:lastRenderedPageBreak/>
        <w:t>thuật công nghệ; đào tạo nâng cao nghiệp vụ chuyên môn cho người lao động trong đơn vị; góp vốn liên doanh, liên kết với các tổ chức, cá nhân trong và ngoài nước (đối với đơn vị được giao vốn theo quy định) để tổ chức hoạt động dịch vụ phù hợp với chức năng, nhiệm vụ được giao và các khoản chi khác (nếu có).</w:t>
      </w:r>
    </w:p>
    <w:p w14:paraId="485DA51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Quỹ bổ sung thu nhập: Để chi bổ sung thu nhập cho người lao động trong năm và dự phòng chi bổ sung thu nhập cho người lao động năm sau trong trường hợp nguồn thu nhập bị giảm.</w:t>
      </w:r>
    </w:p>
    <w:p w14:paraId="4B93436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Việc chi bổ sung thu nhập cho người lao động trong đơn vị được thực hiện theo nguyên tắc gắn với số lượng, chất lượng và hiệu quả công tác. Hệ số thu nhập tăng thêm của chức danh lãnh đạo đơn vị sự nghiệp công tối đa không quá 2 lần hệ số thu nhập tăng thêm bình quân thực hiện của người lao động trong đơn vị.</w:t>
      </w:r>
    </w:p>
    <w:p w14:paraId="6B8E0E1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Quỹ khen thưởng: Để thưởng định kỳ, đột xuất cho tập thể, cá nhân trong và ngoài đơn vị (ngoài chế độ khen thưởng theo quy định của Luật Thi đua khen thưởng) theo hiệu quả công việc và thành tích đóng góp vào hoạt động của đơn vị. Mức thưởng do thủ trưởng đơn vị quyết định theo quy chế chi tiêu nội bộ của đơn vị.</w:t>
      </w:r>
    </w:p>
    <w:p w14:paraId="43BFD80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Quỹ phúc lợi: Để xây dựng, sửa chữa các công trình phúc lợi; chi cho các hoạt động phúc lợi tập thể của người lao động trong đơn vị; trợ cấp khó khăn đột xuất cho người lao động, kể cả trường hợp nghỉ hưu, nghỉ mất sức; chi thêm cho người lao động thực hiện tinh giản biên chế.</w:t>
      </w:r>
    </w:p>
    <w:p w14:paraId="31D07E6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Mức trích cụ thể của các quỹ quy định tại Điểm a Khoản này và việc sử dụng các quỹ do thủ trưởng đơn vị quyết định theo quy chế chi tiêu nội bộ và phải công khai trong đơn vị.</w:t>
      </w:r>
    </w:p>
    <w:p w14:paraId="268E362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13. Tự chủ tài chính đối với đơn vị sự nghiệp công tự bảo đảm chi thường xuyên</w:t>
      </w:r>
    </w:p>
    <w:p w14:paraId="38C0058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Nguồn tài chính của đơn vị</w:t>
      </w:r>
    </w:p>
    <w:p w14:paraId="39A0EEF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Nguồn thu từ hoạt động dịch vụ sự nghiệp công, bao gồm cả nguồn ngân sách nhà nước đặt hàng cung cấp dịch vụ sự nghiệp công theo giá tính đủ chi phí;</w:t>
      </w:r>
    </w:p>
    <w:p w14:paraId="6DFBB11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Nguồn thu phí theo pháp luật về phí, lệ phí được để lại chi theo quy định (phần được để lại chi hoạt động thường xuyên và chi mua sắm, sửa chữa lớn trang thiết bị, tài sản phục vụ công tác thu phí);</w:t>
      </w:r>
    </w:p>
    <w:p w14:paraId="6BC6F21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Nguồn thu khác theo quy định của pháp luật (nếu có);</w:t>
      </w:r>
    </w:p>
    <w:p w14:paraId="4A4231B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d) Nguồn ngân sách nhà nước cấp cho các nhiệm vụ không thường xuyên quy định tại Điểm d Khoản 1 Điều 12 Nghị định này (nếu có);</w:t>
      </w:r>
    </w:p>
    <w:p w14:paraId="687975A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 Nguồn vốn vay, viện trợ, tài trợ theo quy định của pháp luật.</w:t>
      </w:r>
    </w:p>
    <w:p w14:paraId="16A4129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Sử dụng nguồn tài chính:</w:t>
      </w:r>
    </w:p>
    <w:p w14:paraId="2F68F84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Chi thường xuyên: Đơn vị được chủ động sử dụng các nguồn tài chính giao tự chủ quy định tại Điểm a, Điểm b (phần được để lại chi hoạt động thường xuyên) và Điểm c Khoản 1 Điều này để chi thường xuyên theo quy định tại Điểm b Khoản 2 Điều 12 Nghị định này;</w:t>
      </w:r>
    </w:p>
    <w:p w14:paraId="690A819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d và Điểm đ Khoản 1 Điều này.</w:t>
      </w:r>
    </w:p>
    <w:p w14:paraId="531A024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Phân phối kết quả tài chính trong năm theo quy định tại Khoản 3 Điều 12. Riêng trích lập Quỹ bổ sung thu nhập tối đa không quá 3 lần quỹ tiền lương ngạch, bậc, chức vụ và các khoản phụ cấp lương do Nhà nước quy định.</w:t>
      </w:r>
    </w:p>
    <w:p w14:paraId="27D62CC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14. Tự chủ tài chính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w:t>
      </w:r>
    </w:p>
    <w:p w14:paraId="5E80464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Nguồn tài chính của đơn vị</w:t>
      </w:r>
    </w:p>
    <w:p w14:paraId="7A14DAE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Nguồn thu từ hoạt động dịch vụ sự nghiệp công;</w:t>
      </w:r>
    </w:p>
    <w:p w14:paraId="0D1F745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Nguồn thu phí theo pháp luật về phí, lệ phí được để lại chi theo quy định (phần được để lại chi hoạt động thường xuyên và chi mua sắm, sửa chữa lớn trang thiết bị, tài sản phục vụ công tác thu phí);</w:t>
      </w:r>
    </w:p>
    <w:p w14:paraId="0ABFEB8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Nguồn ngân sách nhà nước hỗ trợ phần chi phí chưa kết cấu trong giá, phí dịch vụ sự nghiệp công;</w:t>
      </w:r>
    </w:p>
    <w:p w14:paraId="7FBB686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 Nguồn thu khác theo quy định của pháp luật (nếu có);</w:t>
      </w:r>
    </w:p>
    <w:p w14:paraId="53A1AA8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 Ngân sách nhà nước cấp kinh phí thực hiện các nhiệm vụ không thường xuyên quy định tại Điểm d Khoản 1 Điều 12 Nghị định này (nếu có);</w:t>
      </w:r>
    </w:p>
    <w:p w14:paraId="7C191A1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e) Nguồn viện trợ, tài trợ theo quy định của pháp luật.</w:t>
      </w:r>
    </w:p>
    <w:p w14:paraId="6A0BFFD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2. Sử dụng nguồn tài chính của đơn vị</w:t>
      </w:r>
    </w:p>
    <w:p w14:paraId="69638AA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Chi thường xuyên: Đơn vị được chủ động sử dụng các nguồn tài chính giao tự chủ quy định tại các Điểm a, Điểm b (phần được để lại chi hoạt động thường xuyên), Điểm c và Điểm d Khoản 1 Điều này để chi thường xuyên. Một số nội dung chi được quy định như sau:</w:t>
      </w:r>
    </w:p>
    <w:p w14:paraId="2ACA88C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các nguồn theo quy định; trường hợp còn thiếu, ngân sách nhà nước cấp bổ sung;</w:t>
      </w:r>
    </w:p>
    <w:p w14:paraId="36ECF90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hoạt động chuyên môn, chi quản lý: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3C1B569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đ và Điểm e Khoản 1 Điều này.</w:t>
      </w:r>
    </w:p>
    <w:p w14:paraId="7FD6BEA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Phân phối kết quả tài chính trong năm</w:t>
      </w:r>
    </w:p>
    <w:p w14:paraId="6C5C923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Hàng năm, sau khi hạch toán đầy đủ các khoản chi phí, nộp thuế và các khoản nộp ngân sách nhà nước khác (nếu có) theo quy định, phần chênh lệch thu lớn hơn chi hoạt động thường xuyên (nếu có), đơn vị được sử dụng theo trình tự như sau:</w:t>
      </w:r>
    </w:p>
    <w:p w14:paraId="36620C8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tối thiểu 15% để lập Quỹ phát triển hoạt động sự nghiệp;</w:t>
      </w:r>
    </w:p>
    <w:p w14:paraId="6A87EBC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bổ sung thu nhập tối đa không quá 2 lần quỹ tiền lương ngạch, bậc, chức vụ và các khoản phụ cấp lương do Nhà nước quy định;</w:t>
      </w:r>
    </w:p>
    <w:p w14:paraId="7B6C8BA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khen thưởng và Quỹ phúc lợi tối đa không quá 2 tháng tiền lương, tiền công thực hiện trong năm của đơn vị;</w:t>
      </w:r>
    </w:p>
    <w:p w14:paraId="0E37650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khác theo quy định của pháp luật;</w:t>
      </w:r>
    </w:p>
    <w:p w14:paraId="7E2ACC9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Phần chênh lệch thu lớn hơn chi còn lại (nếu có) sau khi đã trích lập các quỹ theo quy định được bổ sung vào Quỹ phát triển hoạt động sự nghiệp.</w:t>
      </w:r>
    </w:p>
    <w:p w14:paraId="4AF8FA3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xml:space="preserve">Trường hợp chênh lệch thu lớn hơn chi bằng hoặc nhỏ hơn một lần quỹ tiền lương ngạch, bậc, chức vụ thực hiện trong năm, đơn vị được quyết định sử dụng theo trình tự sau: Trích lập Quỹ bổ </w:t>
      </w:r>
      <w:r>
        <w:rPr>
          <w:rFonts w:ascii="Arial" w:hAnsi="Arial" w:cs="Arial"/>
          <w:color w:val="000000"/>
          <w:sz w:val="21"/>
          <w:szCs w:val="21"/>
        </w:rPr>
        <w:lastRenderedPageBreak/>
        <w:t>sung thu nhập; Quỹ phát triển hoạt động sự nghiệp, Quỹ khen thưởng, Quỹ phúc lợi, Quỹ khác (nếu có).</w:t>
      </w:r>
    </w:p>
    <w:p w14:paraId="4CA476A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Mức trích cụ thể của các quỹ theo quy định tại Điểm a Khoản này và việc sử dụng các quỹ do thủ trưởng đơn vị quyết định theo quy chế chi tiêu nội bộ và phải công khai trong đơn vị. Nội dung chi từ các quỹ thực hiện theo quy định tại Điểm b Khoản 3 Điều 12 Nghị định này.</w:t>
      </w:r>
    </w:p>
    <w:p w14:paraId="5C69FBD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15. Tự chủ tài chính đối với đơn vị sự nghiệp công do Nhà nước bảo đảm chi thường xuyên (theo chức năng, nhiệm vụ được cấp có thẩm quyền giao, không có nguồn thu hoặc nguồn thu thấp)</w:t>
      </w:r>
    </w:p>
    <w:p w14:paraId="68EECF3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Nguồn tài chính của đơn vị</w:t>
      </w:r>
    </w:p>
    <w:p w14:paraId="2C8FD9E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Ngân sách nhà nước cấp chi thường xuyên trên cơ sở số lượng người làm việc và định mức phân bổ dự toán được cấp có thẩm quyền phê duyệt;</w:t>
      </w:r>
    </w:p>
    <w:p w14:paraId="25A74ED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Nguồn thu khác (nếu có);</w:t>
      </w:r>
    </w:p>
    <w:p w14:paraId="1E88FC8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Ngân sách nhà nước cấp kinh phí thực hiện các nhiệm vụ không thường xuyên quy định tại Điểm d Khoản 1 Điều 12 Nghị định này (nếu có);</w:t>
      </w:r>
    </w:p>
    <w:p w14:paraId="084CA02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 Nguồn viện trợ, tài trợ theo quy định của pháp luật.</w:t>
      </w:r>
    </w:p>
    <w:p w14:paraId="7EA8111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Nội dung chi của đơn vị</w:t>
      </w:r>
    </w:p>
    <w:p w14:paraId="10A3956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Chi thường xuyên: Đơn vị được sử dụng nguồn tài chính giao tự chủ quy định tại các Điểm a, Điểm b Khoản 1 Điều này để chi thường xuyên. Một số nội dung chi được quy định như sau:</w:t>
      </w:r>
    </w:p>
    <w:p w14:paraId="6EA7CE0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các nguồn theo quy định, bao gồm cả nguồn ngân sách nhà nước cấp bổ sung;</w:t>
      </w:r>
    </w:p>
    <w:p w14:paraId="36990B6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Chi hoạt động chuyên môn, chi quản lý: Đơn vị được quyết định mức chi nhưng tối đa không vượt quá mức chi do cơ quan nhà nước có thẩm quyền quy định.</w:t>
      </w:r>
    </w:p>
    <w:p w14:paraId="2856AB3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Chi nhiệm vụ không thường xuyên: Đơn vị chi theo quy định của Luật Ngân sách nhà nước và pháp luật hiện hành đối với từng nguồn kinh phí quy định tại Điểm c và Điểm d Khoản 1 Điều này.</w:t>
      </w:r>
    </w:p>
    <w:p w14:paraId="1FF2ECB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Sử dụng kinh phí tiết kiệm chi thường xuyên</w:t>
      </w:r>
    </w:p>
    <w:p w14:paraId="457007D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a) Hàng năm, sau khi trang trải các khoản chi phí, nộp thuế và các khoản nộp ngân sách nhà nước khác (nếu có) theo quy định, phần kinh phí tiết kiệm chi thường xuyên (nếu có), đơn vị được sử dụng theo trình tự như sau:</w:t>
      </w:r>
    </w:p>
    <w:p w14:paraId="75EA8BE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tối thiểu 5% để lập Quỹ phát triển hoạt động sự nghiệp;</w:t>
      </w:r>
    </w:p>
    <w:p w14:paraId="4205852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bổ sung thu nhập tối đa không quá 01 lần quỹ tiền lương ngạch, bậc, chức vụ và các khoản phụ cấp lương do Nhà nước quy định;</w:t>
      </w:r>
    </w:p>
    <w:p w14:paraId="68D2864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khen thưởng và Quỹ phúc lợi tối đa không quá 01 tháng tiền lương, tiền công thực hiện trong năm của đơn vị;</w:t>
      </w:r>
    </w:p>
    <w:p w14:paraId="6F7652D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Trích lập Quỹ khác theo quy định của pháp luật;</w:t>
      </w:r>
    </w:p>
    <w:p w14:paraId="295413E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Trường hợp chênh lệch thu lớn hơn chi bằng hoặc nhỏ hơn một lần quỹ tiền lương ngạch, bậc, chức vụ thực hiện trong năm, đơn vị được quyết định mức trích vào các quỹ cho phù hợp theo quy chế chi tiêu nội bộ của đơn vị.</w:t>
      </w:r>
    </w:p>
    <w:p w14:paraId="198BBDF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Mức trích cụ thể của các quỹ theo quy định tại Điểm a Khoản này và việc sử dụng các quỹ do thủ trưởng đơn vị quyết định theo quy chế chi tiêu nội bộ và phải công khai trong đơn vị. Nội dung chi từ các quỹ thực hiện theo quy định tại Điểm b Khoản 3 Điều 12 Nghị định này.</w:t>
      </w:r>
    </w:p>
    <w:p w14:paraId="21035FA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16. Tự chủ trong giao dịch tài chính</w:t>
      </w:r>
    </w:p>
    <w:p w14:paraId="197A83D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Mở tài khoản giao dịch</w:t>
      </w:r>
    </w:p>
    <w:p w14:paraId="0C20524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Đơn vị sự nghiệp công được mở tài khoản tiền gửi tại Ngân hàng thương mại hoặc Kho bạc Nhà nước để phản ánh các khoản thu, chi hoạt động dịch vụ sự nghiệp công không sử dụng ngân sách nhà nước. Lãi tiền gửi là nguồn thu của đơn vị và được bổ sung vào Quỹ phát triển hoạt động sự nghiệp hoặc bổ sung vào quỹ khác theo quy định của pháp luật, không được bổ sung vào Quỹ bổ sung thu nhập;</w:t>
      </w:r>
    </w:p>
    <w:p w14:paraId="4F00533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Các khoản kinh phí thuộc ngân sách nhà nước, các khoản thu dịch vụ sự nghiệp công sử dụng ngân sách nhà nước, các khoản thu phí theo pháp luật về phí, lệ phí, đơn vị mở tài khoản tại Kho bạc Nhà nước để phản ánh.</w:t>
      </w:r>
    </w:p>
    <w:p w14:paraId="5A854962"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Vay vốn, huy động vốn</w:t>
      </w:r>
    </w:p>
    <w:p w14:paraId="465D1DB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 xml:space="preserve">Đơn vị sự nghiệp công có hoạt động dịch vụ được vay vốn của các tổ chức tín dụng, huy động vốn của cán bộ, viên chức trong đơn vị để đầu tư mở rộng và nâng cao chất lượng hoạt động sự nghiệp, </w:t>
      </w:r>
      <w:r>
        <w:rPr>
          <w:rFonts w:ascii="Arial" w:hAnsi="Arial" w:cs="Arial"/>
          <w:color w:val="000000"/>
          <w:sz w:val="21"/>
          <w:szCs w:val="21"/>
        </w:rPr>
        <w:lastRenderedPageBreak/>
        <w:t>tổ chức hoạt động dịch vụ phù hợp với chức năng, nhiệm vụ. Riêng các đơn vị sự nghiệp công tự bảo đảm chi thường xuyên và chi đầu tư được vay vốn, huy động vốn để đầu tư, xây dựng cơ sở vật chất theo quy định tại Điểm a Khoản 2 Điều 12 Nghị định này. Khi thực hiện vay vốn, huy động vốn, đơn vị sự nghiệp công phải có phương án tài chính khả thi, tự chịu trách nhiệm trả nợ vay, lãi vay theo quy định; chịu trách nhiệm trước pháp luật về hiệu quả của việc vay vốn, huy động vốn.</w:t>
      </w:r>
    </w:p>
    <w:p w14:paraId="7D4A3C5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17. Nghĩa vụ tài chính, quản lý tài sản Nhà nước và quy chế chi tiêu nội bộ của đơn vị sự nghiệp công</w:t>
      </w:r>
    </w:p>
    <w:p w14:paraId="23F9B24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Đơn vị sự nghiệp công có hoạt động dịch vụ thực hiện đăng ký, kê khai, nộp đủ thuế và các khoản thu ngân sách khác (nếu có) theo quy định của pháp luật.</w:t>
      </w:r>
    </w:p>
    <w:p w14:paraId="3D39B53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Đơn vị sự nghiệp công có trách nhiệm quản lý, sử dụng tài sản nhà nước theo quy định của pháp luật về quản lý, sử dụng tài sản nhà nước.</w:t>
      </w:r>
    </w:p>
    <w:p w14:paraId="69EB0F1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Đơn vị sự nghiệp công có trách nhiệm xây dựng và ban hành Quy chế chi tiêu nội bộ, gửi cơ quan quản lý cấp trên. Trong thời hạn 15 ngày kể từ ngày nhận được Quy chế, trường hợp Quy chế có quy định không phù hợp với quy định của Nhà nước, cơ quan quản lý cấp trên có ý kiến bằng văn bản yêu cầu đơn vị điều chỉnh lại cho phù hợp.</w:t>
      </w:r>
    </w:p>
    <w:p w14:paraId="79AF0A6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Sau thời hạn nêu trên, nếu cơ quan quản lý cấp trên không có ý kiến, đơn vị triển khai thực hiện theo Quy chế, đồng thời gửi cơ quan tài chính cùng cấp để theo dõi, giám sát thực hiện, Kho bạc Nhà nước nơi đơn vị mở tài khoản giao dịch để làm căn cứ kiểm soát chi.</w:t>
      </w:r>
    </w:p>
    <w:p w14:paraId="4B2FB0F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Mục 4: LẬP, CHẤP HÀNH DỰ TOÁN THU, CHI</w:t>
      </w:r>
    </w:p>
    <w:p w14:paraId="7FA5DF8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18. Lập dự toán</w:t>
      </w:r>
    </w:p>
    <w:p w14:paraId="197C52E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Lập dự toán đối với đơn vị sự nghiệp công tự bảo đảm chi thường xuyên và chi đầu tư; đơn vị sự nghiệp công tự bảo đảm chi thường xuyên</w:t>
      </w:r>
    </w:p>
    <w:p w14:paraId="5184FEEC"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Hàng năm căn cứ vào kết quả thực hiện về số lượng, khối lượng dịch vụ; tình hình thu, chi hoạt động cung cấp dịch vụ sự nghiệp công và các dịch vụ khác của năm hiện hành; yêu cầu nhiệm vụ của năm kế hoạch, đơn vị lập kế hoạch về số lượng, khối lượng dịch vụ và dự toán thu, chi báo cáo cơ quan quản lý cấp trên;</w:t>
      </w:r>
    </w:p>
    <w:p w14:paraId="7634748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Đối với dịch vụ sự nghiệp công do Nhà nước đặt hàng: Hàng năm căn cứ đơn giá, số lượng, khối lượng dịch vụ sự nghiệp công được đặt hàng theo hướng dẫn của Bộ, cơ quan Trung ương, Ủy ban nhân dân cấp tỉnh, đơn vị lập dự toán gửi cơ quan quản lý cấp trên theo quy định.</w:t>
      </w:r>
    </w:p>
    <w:p w14:paraId="556671B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2. Lập dự toán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 Căn cứ tình hình thực hiện năm hiện hành, nhiệm vụ của năm kế hoạch, đơn vị lập kế hoạch về số lượng, khối lượng dịch vụ sự nghiệp công và dự toán thu, chi (bao gồm cả phần kinh phí ngân sách nhà nước hỗ trợ do giá, phí dịch vụ sự nghiệp công chưa kết cấu đủ chi phí) báo cáo cơ quan quản lý cấp trên theo quy định.</w:t>
      </w:r>
    </w:p>
    <w:p w14:paraId="56259F9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Lập dự toán đối với đơn vị sự nghiệp công do Nhà nước bảo đảm chi thường xuyên (theo chức năng, nhiệm vụ được cấp có thẩm quyền giao, không có nguồn thu hoặc nguồn thu thấp): Căn cứ tình hình thực hiện năm hiện hành, nhiệm vụ được cấp có thẩm quyền giao trong năm kế hoạch, số lượng người làm việc được cấp có thẩm quyền phê duyệt, chế độ chi tiêu hiện hành, đơn vị lập dự toán thu, chi gửi cơ quan quản lý cấp trên theo quy định.</w:t>
      </w:r>
    </w:p>
    <w:p w14:paraId="7C687EC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Lập dự toán thu, chi phí theo pháp luật về phí, lệ phí, các nhiệm vụ không thường xuyên theo quy định của Luật Ngân sách nhà nước.</w:t>
      </w:r>
    </w:p>
    <w:p w14:paraId="4FD596F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5. Hàng năm, căn cứ vào dự toán thu, chi do đơn vị sự nghiệp công xây dựng, cơ quan quản lý cấp trên có trách nhiệm xem xét, tổng hợp dự toán thu, chi của đơn vị gửi cơ quan tài chính và cơ quan có liên quan theo quy định của Luật Ngân sách nhà nước.</w:t>
      </w:r>
    </w:p>
    <w:p w14:paraId="500CDAB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19. Phân bổ và giao dự toán</w:t>
      </w:r>
    </w:p>
    <w:p w14:paraId="182EA02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Việc phân bổ và giao dự toán của cơ quan quản lý cấp trên cho đơn vị sự nghiệp công thực hiện theo quy định của Luật Ngân sách nhà nước.</w:t>
      </w:r>
    </w:p>
    <w:p w14:paraId="4FC2C89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Căn cứ lộ trình tính giá dịch vụ sự nghiệp công quy định tại Khoản 1 Điều 10 Nghị định này, cơ quan quản lý cấp trên thực hiện đặt hàng đối với đơn vị sự nghiệp công tự bảo đảm chi thường xuyên và chi đầu tư và đơn vị sự nghiệp công tự bảo đảm chi thường xuyên; đặt hàng, giao kinh phí hỗ trợ từ ngân sách nhà nước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w:t>
      </w:r>
    </w:p>
    <w:p w14:paraId="7E9538B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Đối với đơn vị sự nghiệp công do Nhà nước bảo đảm chi thường xuyên (theo chức năng, nhiệm vụ được cấp có thẩm quyền giao, không có nguồn thu hoặc nguồn thu thấp): Cơ quan quản lý cấp trên thực hiện giao dự toán ổn định trong thời gian 3 năm và được điều chỉnh khi Nhà nước thay đổi nhiệm vụ, cơ chế chính sách theo quy định.</w:t>
      </w:r>
    </w:p>
    <w:p w14:paraId="3DACCC3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Chương III</w:t>
      </w:r>
    </w:p>
    <w:p w14:paraId="29236C2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TỔ CHỨC THỰC HIỆN</w:t>
      </w:r>
    </w:p>
    <w:p w14:paraId="4EF96FB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20. Giao quyền tự chủ cho đơn vị sự nghiệp công</w:t>
      </w:r>
    </w:p>
    <w:p w14:paraId="523F548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Đơn vị sự nghiệp công xây dựng phương án tự chủ phù hợp với kế hoạch và điều kiện thực tế của đơn vị, báo cáo cơ quan quản lý cấp trên để phê duyệt, sau khi có ý kiến bằng văn bản của cơ quan tài chính cung cấp.</w:t>
      </w:r>
    </w:p>
    <w:p w14:paraId="629AE72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Việc giao quyền tự chủ, tự chịu trách nhiệm cho các đơn vị sự nghiệp công quy định tại Chương II Nghị định này được ổn định trong thời gian 3 năm. Trường hợp nguồn thu, nhiệm vụ của đơn vị có biến động làm thay đổi mức độ tự chủ tài chính, đơn vị báo cáo cơ quan quản lý cấp trên để xem xét điều chỉnh mức độ tự chủ cho đơn vị trước thời hạn.</w:t>
      </w:r>
    </w:p>
    <w:p w14:paraId="6BA3C0A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21. Điều kiện, nội dung, yêu cầu để đơn vị sự nghiệp công vận dụng cơ chế tài chính như doanh nghiệp</w:t>
      </w:r>
    </w:p>
    <w:p w14:paraId="0421B01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Đơn vị sự nghiệp công tự bảo đảm chi thường xuyên và chi đầu tư được vận dụng cơ chế tài chính như doanh nghiệp (công ty trách nhiệm hữu hạn một thành viên do Nhà nước nắm giữ 100% vốn điều lệ), khi đáp ứng đủ các điều kiện sau:</w:t>
      </w:r>
    </w:p>
    <w:p w14:paraId="1B6C2C0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Hoạt động dịch vụ sự nghiệp công có điều kiện xã hội hóa cao, Nhà nước không bao cấp;</w:t>
      </w:r>
    </w:p>
    <w:p w14:paraId="1FE2F18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Giá dịch vụ sự nghiệp công tính đủ chi phí (bao gồm cả trích khấu hao tài sản cố định);</w:t>
      </w:r>
    </w:p>
    <w:p w14:paraId="6059673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Được Nhà nước xác định giá trị tài sản và giao vốn cho đơn vị quản lý theo quy định của pháp luật về quản lý, sử dụng tài sản nhà nước;</w:t>
      </w:r>
    </w:p>
    <w:p w14:paraId="60DA982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 Hạch toán kế toán theo quy định của các chuẩn mực kế toán áp dụng cho doanh nghiệp.</w:t>
      </w:r>
    </w:p>
    <w:p w14:paraId="3D0B055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Nội dung được vận dụng cơ chế tài chính như doanh nghiệp</w:t>
      </w:r>
    </w:p>
    <w:p w14:paraId="6AD82B1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Được xác định vốn điều lệ và bảo toàn vốn;</w:t>
      </w:r>
    </w:p>
    <w:p w14:paraId="01FA582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Được vay vốn, huy động vốn, đầu tư vốn ra ngoài đơn vị theo quy định của pháp luật;</w:t>
      </w:r>
    </w:p>
    <w:p w14:paraId="7C1432DE"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 Quản lý, sử dụng, trích khấu hao tài sản cố định theo quy định áp dụng cho doanh nghiệp;</w:t>
      </w:r>
    </w:p>
    <w:p w14:paraId="2DF06E0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d) Quản lý doanh thu, chi phí và phân phối lợi nhuận; thực hiện chế độ kế toán, thống kê áp dụng như doanh nghiệp.</w:t>
      </w:r>
    </w:p>
    <w:p w14:paraId="7BB9EB5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3. Đơn vị sự nghiệp công đáp ứng đủ các điều kiện tại Khoản 1 Điều này, xây dựng Đề án vận dụng cơ chế tài chính như doanh nghiệp, báo cáo các Bộ, cơ quan Trung ương, địa phương để phê duyệt theo phân cấp.</w:t>
      </w:r>
    </w:p>
    <w:p w14:paraId="2687536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Chi phí xây dựng Đề án và các chi phí khác có liên quan trực tiếp đến việc vận dụng cơ chế tài chính như doanh nghiệp được ngân sách nhà nước đảm bảo theo phân cấp.</w:t>
      </w:r>
    </w:p>
    <w:p w14:paraId="3097AA1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Các Bộ, cơ quan Trung ương xem xét quyết định đơn vị sự nghiệp công trực thuộc được vận dụng cơ chế tài chính như doanh nghiệp, sau khi có ý kiến bằng văn bản của Bộ Tài chính, Ủy ban nhân dân cấp tỉnh (hoặc cơ quan cấp dưới theo phân cấp) xem xét quyết định đơn vị sự nghiệp công trực thuộc được vận dụng cơ chế tài chính như doanh nghiệp, sau khi có ý kiến bằng văn bản của cơ quan tài chính địa phương.</w:t>
      </w:r>
    </w:p>
    <w:p w14:paraId="456581C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Căn cứ quy định tại Khoản 1 Điều này, các Bộ, cơ quan Trung ương, Ủy ban nhân dân cấp tỉnh trong phạm vi thẩm quyền chỉ đạo các đơn vị sự nghiệp công rà soát, xây dựng lộ trình để đơn vị sự nghiệp công đủ điều kiện được vận dụng cơ chế tài chính như doanh nghiệp.</w:t>
      </w:r>
    </w:p>
    <w:p w14:paraId="6231BE49"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22. Trách nhiệm của các Bộ, cơ quan Trung ương, Ủy ban nhân dân cấp tỉnh</w:t>
      </w:r>
    </w:p>
    <w:p w14:paraId="295DD96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Căn cứ các quy định tại Nghị định này:</w:t>
      </w:r>
    </w:p>
    <w:p w14:paraId="106AFB7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Các Bộ: Giáo dục và Đào tạo, Lao động - Thương binh và Xã hội, Văn hóa, Thể thao và Du lịch, Thông tin và Truyền thông, Y tế, Khoa học và Công nghệ chủ trì, phối hợp với Bộ Tài chính, Bộ Nội vụ và các Bộ, cơ quan liên quan xây dựng và trình Chính phủ sửa đổi, ban hành Nghị định quy định cơ chế tự chủ của đơn vị sự nghiệp công trong từng lĩnh vực.</w:t>
      </w:r>
    </w:p>
    <w:p w14:paraId="733D1DE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Bộ Tài chính chủ trì, phối hợp với Bộ Nội vụ và các Bộ, cơ quan liên quan xây dựng và trình Chính phủ ban hành Nghị định quy định cơ chế tự chủ của đơn vị sự nghiệp công lập trong lĩnh vực sự nghiệp kinh tế và sự nghiệp khác.</w:t>
      </w:r>
    </w:p>
    <w:p w14:paraId="0AB015EF"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cấp tỉnh, căn cứ phạm vi quản lý, chức năng, nhiệm vụ theo thẩm quyền được giao rà soát, sửa đổi, bổ sung hoặc ban hành mới các tiêu chí, tiêu chuẩn chất lượng, cơ chế giám sát, đánh giá, kiểm định chất lượng dịch vụ sự nghiệp công; hiệu quả hoạt động của đơn vị sự nghiệp công; 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quy định tại Điều 4 Nghị định này.</w:t>
      </w:r>
    </w:p>
    <w:p w14:paraId="2046398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3. Trong năm 2015, Bộ trưởng, Thủ trưởng cơ quan Trung ương có trách nhiệm:</w:t>
      </w:r>
    </w:p>
    <w:p w14:paraId="4119E9B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a) Trình Thủ tướng Chính phủ ban hành Quy hoạch mạng lưới các đơn vị sự nghiệp công theo ngành, lĩnh vực; danh mục dịch vụ sự nghiệp công sử dụng ngân sách nhà nước thuộc lĩnh vực quản lý;</w:t>
      </w:r>
    </w:p>
    <w:p w14:paraId="1A285DD0"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b) Ban hành theo thẩm quyền định mức kinh tế - kỹ thuật áp dụng trong các lĩnh vực dịch vụ sự nghiệp công do Nhà nước quản lý, làm cơ sở ban hành giá dịch vụ sự nghiệp công tính đủ chi phí và các quy định tại Điều 4 Nghị định này.</w:t>
      </w:r>
    </w:p>
    <w:p w14:paraId="19A3B4DB"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Trong năm 2015, Bộ Nội vụ có trách nhiệm hướng dẫn về thành lập và hoạt động của Hội đồng quản lý; hướng dẫn nguyên tắc, phương pháp xác định vị trí việc làm; thẩm quyền, trình tự, thủ tục quyết định số lượng vị trí việc làm; hướng dẫn các đơn vị sự nghiệp công chưa xây dựng được vị trí việc làm và cơ cấu viên chức theo chức danh nghề nghiệp xác định số lượng người làm việc trên cơ sở định biên bình quân các năm trước.</w:t>
      </w:r>
    </w:p>
    <w:p w14:paraId="385DE331"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5. Bộ Tài chính có trách nhiệm thay đổi phương thức bố trí dự toán ngân sách cho các đơn vị sự nghiệp công phù hợp với cơ chế tự chủ tài chính quy định tại Nghị định này.</w:t>
      </w:r>
    </w:p>
    <w:p w14:paraId="04E19A0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6. Chủ tịch Ủy ban nhân dân cấp tỉnh trong phạm vi thẩm quyền có trách nhiệm ban hành trong năm 2015: Quy hoạch mạng lưới các đơn vị sự nghiệp công trong từng lĩnh vực; danh mục dịch vụ sự nghiệp công sử dụng ngân sách nhà nước; định mức kinh tế - kỹ thuật áp dụng trong các lĩnh vực dịch vụ sự nghiệp công, làm cơ sở ban hành giá dịch vụ sự nghiệp công tính đủ chi phí và các quy định tại Điều 4 Nghị định này.</w:t>
      </w:r>
    </w:p>
    <w:p w14:paraId="5DDEE678"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Điều 23. Trách nhiệm của Thủ trưởng đơn vị sự nghiệp công</w:t>
      </w:r>
    </w:p>
    <w:p w14:paraId="4B3C60F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Chịu trách nhiệm trước cơ quan quản lý cấp trên trực tiếp và trước pháp luật đối với các quyết định thực hiện quyền tự chủ về nhiệm vụ, tổ chức bộ máy, nhân sự và tài chính của đơn vị.</w:t>
      </w:r>
    </w:p>
    <w:p w14:paraId="66608F4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Bảo đảm chất lượng dịch vụ sự nghiệp công theo các tiêu chí, tiêu chuẩn do cơ quan nhà nước có thẩm quyền quy định.</w:t>
      </w:r>
    </w:p>
    <w:p w14:paraId="2164EBA3"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Xây dựng và tổ chức thực hiện quy chế chi tiêu nội bộ, quy chế sử dụng tài sản, quy chế dân chủ cơ sở, quy chế công khai tài chính, kiểm toán nội bộ theo quy định.</w:t>
      </w:r>
    </w:p>
    <w:p w14:paraId="37B08E1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4. Tổ chức, thực hiện quản lý, sử dụng viên chức theo quy định của pháp luật về viên chức.</w:t>
      </w:r>
    </w:p>
    <w:p w14:paraId="0B476225"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lastRenderedPageBreak/>
        <w:t>5. Quản lý, bảo toàn và phát triển vốn, tài sản của Nhà nước giao, thực hiện chế độ hạch toán kế toán, thống kê, thông tin, báo cáo hoạt động, kiểm toán theo quy định.</w:t>
      </w:r>
    </w:p>
    <w:p w14:paraId="4C8CE6DA"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6. Trình cơ quan có thẩm quyền quyết định thành lập và quy định chức năng, nhiệm vụ, quyền hạn, cơ cấu tổ chức của Hội đồng quản lý theo quy định.</w:t>
      </w:r>
    </w:p>
    <w:p w14:paraId="548128FD"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7. Thực hiện quy định công khai, trách nhiệm giải trình hoạt động của đơn vị theo quy định của pháp luật.</w:t>
      </w:r>
    </w:p>
    <w:p w14:paraId="7A0E4C0C" w14:textId="77777777" w:rsidR="00473BAF" w:rsidRDefault="00473BAF" w:rsidP="00473BAF">
      <w:pPr>
        <w:spacing w:line="375" w:lineRule="atLeast"/>
        <w:jc w:val="both"/>
        <w:rPr>
          <w:rFonts w:ascii="Arial" w:hAnsi="Arial" w:cs="Arial"/>
          <w:color w:val="000000"/>
          <w:sz w:val="21"/>
          <w:szCs w:val="21"/>
        </w:rPr>
      </w:pPr>
    </w:p>
    <w:p w14:paraId="118855E8" w14:textId="77777777" w:rsidR="00473BAF" w:rsidRDefault="00473BAF" w:rsidP="00473BAF">
      <w:pPr>
        <w:spacing w:line="375" w:lineRule="atLeast"/>
        <w:jc w:val="both"/>
        <w:rPr>
          <w:rFonts w:ascii="Arial" w:hAnsi="Arial" w:cs="Arial"/>
          <w:color w:val="000000"/>
          <w:sz w:val="21"/>
          <w:szCs w:val="21"/>
        </w:rPr>
      </w:pPr>
      <w:r>
        <w:rPr>
          <w:rStyle w:val="Strong"/>
          <w:rFonts w:ascii="Arial" w:hAnsi="Arial" w:cs="Arial"/>
          <w:color w:val="000000"/>
          <w:sz w:val="21"/>
          <w:szCs w:val="21"/>
        </w:rPr>
        <w:t>Điều 24. Hiệu lực thi hành</w:t>
      </w:r>
    </w:p>
    <w:p w14:paraId="36546E56"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06 tháng 4 năm 2015 và thay thế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43/2006/NĐ-CP</w:t>
        </w:r>
        <w:r>
          <w:rPr>
            <w:rStyle w:val="apple-converted-space"/>
            <w:rFonts w:ascii="Arial" w:hAnsi="Arial" w:cs="Arial"/>
            <w:color w:val="135ECD"/>
            <w:sz w:val="21"/>
            <w:szCs w:val="21"/>
          </w:rPr>
          <w:t> </w:t>
        </w:r>
      </w:hyperlink>
      <w:r>
        <w:rPr>
          <w:rFonts w:ascii="Arial" w:hAnsi="Arial" w:cs="Arial"/>
          <w:color w:val="000000"/>
          <w:sz w:val="21"/>
          <w:szCs w:val="21"/>
        </w:rPr>
        <w:t>ngày 25 tháng 4 năm 2006 của Chính phủ quy định quyền tự chủ, tự chịu trách nhiệm về thực hiện nhiệm vụ, tổ chức bộ máy, biên chế và tài chính đối với đơn vị sự nghiệp công lập; làm cơ sở để xây dựng Nghị định quy định cơ chế tự chủ của đơn vị sự nghiệp trong từng lĩnh vực.</w:t>
      </w:r>
    </w:p>
    <w:p w14:paraId="6019B6E7"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2. Trong khi chưa ban hành hoặc sửa đổi Nghị định quy định cơ chế tự chủ của đơn vị sự nghiệp công trong từng lĩnh vực cụ thể theo quy định tại Khoản 1 Điều này, các đơn vị sự nghiệp công theo từng lĩnh vực được tiếp tục thực hiện cơ chế tự chủ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115/2005/NĐ-CP</w:t>
        </w:r>
        <w:r>
          <w:rPr>
            <w:rStyle w:val="apple-converted-space"/>
            <w:rFonts w:ascii="Arial" w:hAnsi="Arial" w:cs="Arial"/>
            <w:color w:val="135ECD"/>
            <w:sz w:val="21"/>
            <w:szCs w:val="21"/>
          </w:rPr>
          <w:t> </w:t>
        </w:r>
      </w:hyperlink>
      <w:r>
        <w:rPr>
          <w:rFonts w:ascii="Arial" w:hAnsi="Arial" w:cs="Arial"/>
          <w:color w:val="000000"/>
          <w:sz w:val="21"/>
          <w:szCs w:val="21"/>
        </w:rPr>
        <w:t>ngày 05 tháng 9 năm 2005 của Chính phủ quy định cơ chế tự chủ, tự chịu trách nhiệm của tổ chức khoa học và công nghệ công lập và Nghị định số 96/2010/NĐ-CP ngày 20 tháng 9 năm 2010 của Chính phủ sửa đổi, bổ sung một số điều của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115/2005/NĐ-CP</w:t>
        </w:r>
        <w:r>
          <w:rPr>
            <w:rStyle w:val="apple-converted-space"/>
            <w:rFonts w:ascii="Arial" w:hAnsi="Arial" w:cs="Arial"/>
            <w:color w:val="135ECD"/>
            <w:sz w:val="21"/>
            <w:szCs w:val="21"/>
          </w:rPr>
          <w:t> </w:t>
        </w:r>
      </w:hyperlink>
      <w:r>
        <w:rPr>
          <w:rFonts w:ascii="Arial" w:hAnsi="Arial" w:cs="Arial"/>
          <w:color w:val="000000"/>
          <w:sz w:val="21"/>
          <w:szCs w:val="21"/>
        </w:rPr>
        <w:t>của Chính phủ; Nghị định số 85/2012/NĐ-CP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14:paraId="558A97B4" w14:textId="77777777" w:rsidR="00473BAF" w:rsidRDefault="00473BAF" w:rsidP="00473BAF">
      <w:pPr>
        <w:spacing w:line="37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Chủ tịch Ủy ban nhân dân tỉnh, thành phố trực thuộc Trung ương chịu trách nhiệm thi hành Nghị định này./.</w:t>
      </w:r>
    </w:p>
    <w:p w14:paraId="40EAC1C9" w14:textId="77777777" w:rsidR="00473BAF" w:rsidRDefault="00473BAF" w:rsidP="00473BAF">
      <w:pPr>
        <w:pStyle w:val="NormalWeb"/>
        <w:spacing w:after="90" w:afterAutospacing="0" w:line="345" w:lineRule="atLeast"/>
        <w:jc w:val="both"/>
        <w:rPr>
          <w:rFonts w:ascii="Arial"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61"/>
        <w:gridCol w:w="1749"/>
      </w:tblGrid>
      <w:tr w:rsidR="00473BAF" w14:paraId="2E4F7FAD" w14:textId="77777777" w:rsidTr="00473B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1D5B" w14:textId="77777777" w:rsidR="00473BAF" w:rsidRDefault="00473BAF" w:rsidP="00473BAF">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Văn thư,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7DDAA" w14:textId="77777777" w:rsidR="00473BAF" w:rsidRDefault="00473BAF">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B6A208C" w14:textId="231058D2" w:rsidR="0011135F" w:rsidRPr="00473BAF" w:rsidRDefault="0011135F" w:rsidP="00473BAF"/>
    <w:sectPr w:rsidR="0011135F" w:rsidRPr="00473BAF"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F9569" w14:textId="77777777" w:rsidR="00FC1F54" w:rsidRDefault="00FC1F54" w:rsidP="007446EA">
      <w:pPr>
        <w:spacing w:after="0" w:line="240" w:lineRule="auto"/>
      </w:pPr>
      <w:r>
        <w:separator/>
      </w:r>
    </w:p>
  </w:endnote>
  <w:endnote w:type="continuationSeparator" w:id="0">
    <w:p w14:paraId="662C615F" w14:textId="77777777" w:rsidR="00FC1F54" w:rsidRDefault="00FC1F5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11C5" w14:textId="77777777" w:rsidR="00FC1F54" w:rsidRDefault="00FC1F54" w:rsidP="007446EA">
      <w:pPr>
        <w:spacing w:after="0" w:line="240" w:lineRule="auto"/>
      </w:pPr>
      <w:r>
        <w:separator/>
      </w:r>
    </w:p>
  </w:footnote>
  <w:footnote w:type="continuationSeparator" w:id="0">
    <w:p w14:paraId="23503D15" w14:textId="77777777" w:rsidR="00FC1F54" w:rsidRDefault="00FC1F5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73BAF"/>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17BD"/>
    <w:rsid w:val="008D6F0B"/>
    <w:rsid w:val="008D7C81"/>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24AB"/>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C1F5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so-43-2006-nd-cp-cua-chinh-phu---nghi-dinh-quy-dinh-quyen-tu-chu--tu-chiu-trach-nhiem-ve-thuc-hien-nhiem-vu--to-chuc-bo-may--bien-che-va-tai-chinh-doi-voi-don-vi-su-nghiep-cong-la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nghi-dinh-so-16-2015-nd-cp-cua-chinh-phu---quy-dinh-co-che-tu-chu-cua-don-vi-nghiep-cong-la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nghi-dinh-so-115-2005-nd-cp-cua-chinh-phu---nghi-dinh-quy-dinh-co-che-tu-chu--tu-chiu-trach-nhiem-cua-to-chuc-khoa-hoc-va-cong-nghe-cong-lap.aspx" TargetMode="External"/><Relationship Id="rId4" Type="http://schemas.openxmlformats.org/officeDocument/2006/relationships/webSettings" Target="webSettings.xml"/><Relationship Id="rId9" Type="http://schemas.openxmlformats.org/officeDocument/2006/relationships/hyperlink" Target="file:////nghi-dinh-so-115-2005-nd-cp-cua-chinh-phu---nghi-dinh-quy-dinh-co-che-tu-chu--tu-chiu-trach-nhiem-cua-to-chuc-khoa-hoc-va-cong-nghe-cong-la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21</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70</cp:revision>
  <dcterms:created xsi:type="dcterms:W3CDTF">2015-09-21T17:28:00Z</dcterms:created>
  <dcterms:modified xsi:type="dcterms:W3CDTF">2022-05-22T02:52:00Z</dcterms:modified>
</cp:coreProperties>
</file>