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t xml:space="preserve">BỘ XÂY DỰNG</w:t>
            </w:r>
            <w:r>
              <w:rPr>
                <w:b/>
              </w:rPr>
              <w:br/>
            </w:r>
            <w:r>
              <w:rPr>
                <w:b/>
              </w:rPr>
              <w:t xml:space="preserve">-------</w:t>
            </w:r>
          </w:p>
          <w:p>
            <w:pPr>
              <w:pStyle w:val="Normal(Web)"/>
              <w:divId w:val="2"/>
              <w:jc w:val="center"/>
              <w:rPr>
                <w:vanish w:val="0"/>
              </w:rPr>
            </w:pPr>
            <w:r>
              <w:t xml:space="preserve">Số: </w:t>
            </w:r>
            <w:hyperlink r:id="rId3" w:history="1">
              <w:r>
                <w:rPr>
                  <w:rStyle w:val="Hyperlink"/>
                </w:rPr>
                <w:t xml:space="preserve">09/2014/TT-BXD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10 tháng 07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SỬA ĐỔI, BỔ SUNG MỘT SỐ ĐIỀU TẠI CÁC THÔNG TƯ HƯỚNG DẪN </w:t>
      </w:r>
    </w:p>
    <w:p>
      <w:pPr>
        <w:pStyle w:val="Normal(Web)"/>
        <w:divId w:val="7"/>
        <w:jc w:val="center"/>
        <w:rPr>
          <w:vanish w:val="0"/>
        </w:rPr>
      </w:pPr>
      <w:r>
        <w:rPr>
          <w:b/>
        </w:rPr>
        <w:t xml:space="preserve">NGHỊ ĐỊNH SỐ </w:t>
      </w:r>
      <w:hyperlink r:id="rId4" w:history="1">
        <w:r>
          <w:rPr>
            <w:rStyle w:val="Hyperlink"/>
            <w:b/>
          </w:rPr>
          <w:t xml:space="preserve">15/2013/NĐ-CP </w:t>
        </w:r>
      </w:hyperlink>
      <w:r>
        <w:rPr>
          <w:b/>
        </w:rPr>
        <w:t xml:space="preserve"> NGÀY 06 THÁNG 02 NĂM 2013 CỦA CHÍNH PHỦ</w:t>
      </w:r>
    </w:p>
    <w:p>
      <w:pPr>
        <w:pStyle w:val="Normal(Web)"/>
        <w:divId w:val="8"/>
        <w:jc w:val="center"/>
        <w:rPr>
          <w:vanish w:val="0"/>
        </w:rPr>
      </w:pPr>
      <w:r>
        <w:rPr>
          <w:b/>
        </w:rPr>
        <w:t xml:space="preserve">VỀ QUẢN LÝ CHẤT LƯỢNG CÔNG TRÌNH XÂY DỰNG</w:t>
      </w:r>
    </w:p>
    <w:p>
      <w:pPr>
        <w:pStyle w:val="Normal(Web)"/>
        <w:divId w:val="9"/>
        <w:rPr>
          <w:vanish w:val="0"/>
        </w:rPr>
      </w:pPr>
      <w:r>
        <w:rPr>
          <w:i/>
        </w:rPr>
        <w:t xml:space="preserve">Căn cứ </w:t>
      </w:r>
      <w:r>
        <w:rPr>
          <w:i/>
        </w:rPr>
        <w:t xml:space="preserve">Nghị định số</w:t>
      </w:r>
      <w:r>
        <w:rPr>
          <w:i/>
        </w:rPr>
        <w:t xml:space="preserve"> 62/2013/NĐ-CP ngày 25 tháng 6 năm 2013 của Chính phủ quy định chức năng, nhiệm vụ, quyền hạn và</w:t>
      </w:r>
      <w:r>
        <w:rPr>
          <w:i/>
        </w:rPr>
        <w:t xml:space="preserve">cơ cấu</w:t>
      </w:r>
      <w:r>
        <w:rPr>
          <w:i/>
        </w:rPr>
        <w:t xml:space="preserve">tổ chức</w:t>
      </w:r>
      <w:r>
        <w:rPr>
          <w:i/>
        </w:rPr>
        <w:t xml:space="preserve"> của Bộ Xây dựng;</w:t>
      </w:r>
    </w:p>
    <w:p>
      <w:pPr>
        <w:pStyle w:val="Normal(Web)"/>
        <w:divId w:val="10"/>
        <w:rPr>
          <w:vanish w:val="0"/>
        </w:rPr>
      </w:pPr>
      <w:r>
        <w:rPr>
          <w:i/>
        </w:rPr>
        <w:t xml:space="preserve">Căn cứ Nghị định số 15/2013/NĐ-CP ngày 06 tháng 02 năm 2013 của Chính phủ</w:t>
      </w:r>
      <w:r>
        <w:rPr>
          <w:i/>
        </w:rPr>
        <w:t xml:space="preserve">về</w:t>
      </w:r>
      <w:r>
        <w:rPr>
          <w:i/>
        </w:rPr>
        <w:t xml:space="preserve"> Quản lý chất lượng công trình xây dựng;</w:t>
      </w:r>
    </w:p>
    <w:p>
      <w:pPr>
        <w:pStyle w:val="Normal(Web)"/>
        <w:divId w:val="11"/>
        <w:rPr>
          <w:vanish w:val="0"/>
        </w:rPr>
      </w:pPr>
      <w:r>
        <w:rPr>
          <w:i/>
        </w:rPr>
        <w:t xml:space="preserve">Căn cứ </w:t>
      </w:r>
      <w:r>
        <w:rPr>
          <w:i/>
        </w:rPr>
        <w:t xml:space="preserve">Nghị định số</w:t>
      </w:r>
      <w:r>
        <w:rPr>
          <w:i/>
        </w:rPr>
        <w:t xml:space="preserve"> 12/2009/NĐ-CP ngày 12</w:t>
      </w:r>
      <w:r>
        <w:rPr>
          <w:i/>
        </w:rPr>
        <w:t xml:space="preserve">tháng</w:t>
      </w:r>
      <w:r>
        <w:rPr>
          <w:i/>
        </w:rPr>
        <w:t xml:space="preserve"> 02 năm 2009 của </w:t>
      </w:r>
      <w:r>
        <w:rPr>
          <w:i/>
        </w:rPr>
        <w:t xml:space="preserve">Chính phủ</w:t>
      </w:r>
      <w:r>
        <w:rPr>
          <w:i/>
        </w:rPr>
        <w:t xml:space="preserve">về</w:t>
      </w:r>
      <w:r>
        <w:rPr>
          <w:i/>
        </w:rPr>
        <w:t xml:space="preserve"> Quản lý dự án </w:t>
      </w:r>
      <w:r>
        <w:rPr>
          <w:i/>
        </w:rPr>
        <w:t xml:space="preserve">đầu tư</w:t>
      </w:r>
      <w:r>
        <w:rPr>
          <w:i/>
        </w:rPr>
        <w:t xml:space="preserve"> xây dựng công trình; </w:t>
      </w:r>
      <w:r>
        <w:rPr>
          <w:i/>
        </w:rPr>
        <w:t xml:space="preserve">Nghị định số</w:t>
      </w:r>
      <w:r>
        <w:rPr>
          <w:i/>
        </w:rPr>
        <w:t xml:space="preserve"> 83/2009/NĐ-CP ngày 15 tháng 10 năm 2009 của</w:t>
      </w:r>
      <w:r>
        <w:rPr>
          <w:i/>
        </w:rPr>
        <w:t xml:space="preserve">Chính phủ</w:t>
      </w:r>
      <w:r>
        <w:rPr>
          <w:i/>
        </w:rPr>
        <w:t xml:space="preserve"> về sửa đổi, bổ sung một số điều </w:t>
      </w:r>
      <w:r>
        <w:rPr>
          <w:i/>
        </w:rPr>
        <w:t xml:space="preserve">Nghị định số</w:t>
      </w:r>
      <w:r>
        <w:rPr>
          <w:i/>
        </w:rPr>
        <w:t xml:space="preserve"> 12/2009/NĐ-CP ngày 12 tháng 02 năm 2009 của</w:t>
      </w:r>
      <w:r>
        <w:rPr>
          <w:i/>
        </w:rPr>
        <w:t xml:space="preserve">Chính phủ</w:t>
      </w:r>
      <w:r>
        <w:rPr>
          <w:i/>
        </w:rPr>
        <w:t xml:space="preserve"> về quản lý dự án </w:t>
      </w:r>
      <w:r>
        <w:rPr>
          <w:i/>
        </w:rPr>
        <w:t xml:space="preserve">đầu tư</w:t>
      </w:r>
      <w:r>
        <w:rPr>
          <w:i/>
        </w:rPr>
        <w:t xml:space="preserve"> xây dựng công trình;</w:t>
      </w:r>
    </w:p>
    <w:p>
      <w:pPr>
        <w:pStyle w:val="Normal(Web)"/>
        <w:divId w:val="12"/>
        <w:rPr>
          <w:vanish w:val="0"/>
        </w:rPr>
      </w:pPr>
      <w:r>
        <w:rPr>
          <w:i/>
        </w:rPr>
        <w:t xml:space="preserve">Xét đề nghị của Cục trưởng Cục Giám định Nhà nước về chất lượng công trình xây dựng và Cục trưởng Cục quản lý Hoạt động xây dựng;</w:t>
      </w:r>
    </w:p>
    <w:p>
      <w:pPr>
        <w:pStyle w:val="Normal(Web)"/>
        <w:divId w:val="13"/>
        <w:rPr>
          <w:vanish w:val="0"/>
        </w:rPr>
      </w:pPr>
      <w:r>
        <w:rPr>
          <w:i/>
        </w:rPr>
        <w:t xml:space="preserve">Bộ trưởng Bộ Xây dựng ban hành Thông tư sửa đổi, bổ sung một số điều tại Thông tư số 10/2013/TT-BXD ngày 25</w:t>
      </w:r>
      <w:r>
        <w:rPr>
          <w:i/>
        </w:rPr>
        <w:t xml:space="preserve">tháng</w:t>
      </w:r>
      <w:r>
        <w:rPr>
          <w:i/>
        </w:rPr>
        <w:t xml:space="preserve">7 năm 2013 Quy định chi tiết một số nội dung về quản lý chất lượng công trình xây dựng, Thông tư số 12/2013/TT-BXD ngày 31 tháng 7 năm 2013 Quy định Tổ chức giải thưởng về chất lượng công trình xây dựng, Thông tư số 13/2013/TT-BXD ngày 15</w:t>
      </w:r>
      <w:r>
        <w:rPr>
          <w:i/>
        </w:rPr>
        <w:t xml:space="preserve">tháng</w:t>
      </w:r>
      <w:r>
        <w:rPr>
          <w:i/>
        </w:rPr>
        <w:t xml:space="preserve"> 8 năm 2013 Quy định thẩm tra, thẩm định và phê duyệt thiết kế xây dựng công trình của Bộ Xây dựng,</w:t>
      </w:r>
    </w:p>
    <w:p>
      <w:pPr>
        <w:pStyle w:val="Normal(Web)"/>
        <w:divId w:val="14"/>
        <w:rPr>
          <w:vanish w:val="0"/>
        </w:rPr>
      </w:pPr>
      <w:r>
        <w:rPr>
          <w:b/>
        </w:rPr>
        <w:t xml:space="preserve">Điều 1. Sửa đổi, bổ sung Thông tư số </w:t>
      </w:r>
      <w:hyperlink r:id="rId5" w:history="1">
        <w:r>
          <w:rPr>
            <w:rStyle w:val="Hyperlink"/>
            <w:b/>
          </w:rPr>
          <w:t xml:space="preserve">10/2013/TT-BXD </w:t>
        </w:r>
      </w:hyperlink>
      <w:r>
        <w:rPr>
          <w:b/>
        </w:rPr>
        <w:t xml:space="preserve"> ngày 25 tháng 7 năm 2013</w:t>
      </w:r>
    </w:p>
    <w:p>
      <w:pPr>
        <w:pStyle w:val="Normal(Web)"/>
        <w:divId w:val="15"/>
        <w:rPr>
          <w:vanish w:val="0"/>
        </w:rPr>
      </w:pPr>
      <w:r>
        <w:rPr>
          <w:b/>
        </w:rPr>
        <w:t xml:space="preserve">1. Sửa đổi khoản 2 Điều 2 như sau:</w:t>
      </w:r>
    </w:p>
    <w:p>
      <w:pPr>
        <w:pStyle w:val="Normal(Web)"/>
        <w:divId w:val="16"/>
        <w:rPr>
          <w:vanish w:val="0"/>
        </w:rPr>
      </w:pPr>
      <w:r>
        <w:t xml:space="preserve">“2. Người đại diện theo pháp luật của chủ đầu tư có thể ủy quyền cho ban quản lý dự án trong trường hợp trực tiếp quản lý dự án hoặc tư vấn quản lý dự án trong trường hợp thuê tư vấn quản lý dự án thực hiện một hoặc một số các nội dung nêu tại Khoản 1 Điều này, trừ nội dung phê duyệt nhiệm vụ thiết kế xây dựng công trình.”</w:t>
      </w:r>
    </w:p>
    <w:p>
      <w:pPr>
        <w:pStyle w:val="Normal(Web)"/>
        <w:divId w:val="17"/>
        <w:rPr>
          <w:vanish w:val="0"/>
        </w:rPr>
      </w:pPr>
      <w:r>
        <w:t xml:space="preserve">2. Sửa đổi, bổ sung khoản 7 Điều 24 như sau:</w:t>
      </w:r>
    </w:p>
    <w:p>
      <w:pPr>
        <w:pStyle w:val="Normal(Web)"/>
        <w:divId w:val="18"/>
        <w:rPr>
          <w:vanish w:val="0"/>
        </w:rPr>
      </w:pPr>
      <w:r>
        <w:t xml:space="preserve">“7. Chi phí kiểm tra công tác nghiệm thu đưa công trình vào sử dụng được tính trong tổng mức đầu tư xây dựng công trình bao gồm chi phí kiểm tra của cơ quan chuyên môn về xây dựng, chi phí thuê cá nhân (chuyên gia), chi phí thuê đơn vị sự nghiệp, tổ chức có năng lực chuyên môn phù hợp để thực hiện </w:t>
      </w:r>
      <w:r>
        <w:t xml:space="preserve">kiểm tra</w:t>
      </w:r>
      <w:r>
        <w:t xml:space="preserve"> công tác nghiệm thu đưa công trình vào sử dụng trong trường hợp cơ quan chuyên môn về xây dựng yêu cầu theo quy định tại Khoản 6 Điều này. Chi phí kiểm tra công tác nghiệm thu đưa công trình vào sử dụng được quy định như sau:</w:t>
      </w:r>
    </w:p>
    <w:p>
      <w:pPr>
        <w:pStyle w:val="Normal(Web)"/>
        <w:divId w:val="19"/>
        <w:rPr>
          <w:vanish w:val="0"/>
        </w:rPr>
      </w:pPr>
      <w:r>
        <w:t xml:space="preserve">a) Chi phí kiểm tra của cơ quan chuyên môn về xây dựng theo hướng dẫn về chế độ công tác phí của Bộ Tài chính gồm chi phí đi lại, phụ cấp lưu trú, chi phí ở và chi phí khác phục vụ cho công tác </w:t>
      </w:r>
      <w:r>
        <w:t xml:space="preserve">kiểm tra</w:t>
      </w:r>
      <w:r>
        <w:t xml:space="preserve">;</w:t>
      </w:r>
    </w:p>
    <w:p>
      <w:pPr>
        <w:pStyle w:val="Normal(Web)"/>
        <w:divId w:val="20"/>
        <w:rPr>
          <w:vanish w:val="0"/>
        </w:rPr>
      </w:pPr>
      <w:r>
        <w:t xml:space="preserve">b) Chi phí thuê chuyên gia của cơ quan chuyên môn về xây dựng bao gồm chi phí đi lại, chi phí ở và công chuyên gia;</w:t>
      </w:r>
    </w:p>
    <w:p>
      <w:pPr>
        <w:pStyle w:val="Normal(Web)"/>
        <w:divId w:val="21"/>
        <w:rPr>
          <w:vanish w:val="0"/>
        </w:rPr>
      </w:pPr>
      <w:r>
        <w:t xml:space="preserve">c) Chi phí thuê đơn vị sự nghiệp, tổ chức thực hiện kiểm tra công tác nghiệm thu đưa công trình vào sử dụng được lập dự toán căn cứ vào khối lượng công việc thực hiện theo yêu cầu của cơ quan chuyên môn về xây dựng và quy định của pháp luật về lập và quản lý chi phí đầu tư xây dựng;</w:t>
      </w:r>
    </w:p>
    <w:p>
      <w:pPr>
        <w:pStyle w:val="Normal(Web)"/>
        <w:divId w:val="22"/>
        <w:rPr>
          <w:vanish w:val="0"/>
        </w:rPr>
      </w:pPr>
      <w:r>
        <w:t xml:space="preserve">d) Cơ quan chuyên môn về xây dựng lập dự trù chi phí kiểm tra theo quy định hiện hành bao gồm chi phí quy định tại Điểm a và Điểm b Khoản này. Dự trù chi phí kiểm tra là cơ sở để chủ đầu tư thanh toán các chi phí thực tế của cơ quan chuyên môn về xây dựng trong quá trình kiểm tra.”</w:t>
      </w:r>
    </w:p>
    <w:p>
      <w:pPr>
        <w:pStyle w:val="Normal(Web)"/>
        <w:divId w:val="23"/>
        <w:rPr>
          <w:vanish w:val="0"/>
        </w:rPr>
      </w:pPr>
      <w:r>
        <w:t xml:space="preserve">3. Sửa đổi điểm a và điểm b khoản 2 Điều 25 như sau:</w:t>
      </w:r>
    </w:p>
    <w:p>
      <w:pPr>
        <w:pStyle w:val="Normal(Web)"/>
        <w:divId w:val="24"/>
        <w:rPr>
          <w:vanish w:val="0"/>
        </w:rPr>
      </w:pPr>
      <w:r>
        <w:t xml:space="preserve">“2. Cơ quan chuyên môn về xây dựng trực thuộc Bộ Công thương kiểm tra đối với các công trình sau:</w:t>
      </w:r>
    </w:p>
    <w:p>
      <w:pPr>
        <w:pStyle w:val="Normal(Web)"/>
        <w:divId w:val="25"/>
        <w:rPr>
          <w:vanish w:val="0"/>
        </w:rPr>
      </w:pPr>
      <w:r>
        <w:t xml:space="preserve">a) Công trình cấp I trở lên không phân biệt nguồn vốn thuộc các loại: đường dây tải điện và trạm biến áp, nhà máy thủy điện, nhà máy nhiệt điện, nhà máy luyện kim, nhà máy sản xuất Alumin, nhà máy lọc hóa dầu, chế biến khí, nhà kho và tuyến đường ống (dẫn xăng, dầu, khí hóa lỏng), nhà máy sản xuất và kho chứa hóa chất nguy hiểm, nhà máy sản xuất và kho chứa vật liệu nổ công nghiệp;</w:t>
      </w:r>
    </w:p>
    <w:p>
      <w:pPr>
        <w:pStyle w:val="Normal(Web)"/>
        <w:divId w:val="26"/>
        <w:rPr>
          <w:vanish w:val="0"/>
        </w:rPr>
      </w:pPr>
      <w:r>
        <w:t xml:space="preserve">b) Công trình cấp II, cấp III thuộc các loại: đường dây tải điện và trạm biến áp, nhà máy thủy điện, nhà máy nhiệt điện, nhà máy luyện kim, nhà máy sản xuất Alumin trong dự án đầu tư xây dựng do Bộ trưởng Bộ Công thương quyết định đầu tư;”</w:t>
      </w:r>
    </w:p>
    <w:p>
      <w:pPr>
        <w:pStyle w:val="Normal(Web)"/>
        <w:divId w:val="27"/>
        <w:rPr>
          <w:vanish w:val="0"/>
        </w:rPr>
      </w:pPr>
      <w:r>
        <w:t xml:space="preserve">4. Sửa đổi điểm b khoản 6 Điều 25 như sau:</w:t>
      </w:r>
    </w:p>
    <w:p>
      <w:pPr>
        <w:pStyle w:val="Normal(Web)"/>
        <w:divId w:val="28"/>
        <w:rPr>
          <w:vanish w:val="0"/>
        </w:rPr>
      </w:pPr>
      <w:r>
        <w:t xml:space="preserve">“b) Sở Công thương:</w:t>
      </w:r>
    </w:p>
    <w:p>
      <w:pPr>
        <w:pStyle w:val="Normal(Web)"/>
        <w:divId w:val="29"/>
        <w:rPr>
          <w:vanish w:val="0"/>
        </w:rPr>
      </w:pPr>
      <w:r>
        <w:t xml:space="preserve">- Công trình cấp III, cấp II thuộc các loại: đường dây tải điện và trạm biến áp, nhà máy thủy điện, nhà máy nhiệt điện, nhà máy luyện kim, nhà máy sản xuất Alumin, trừ các công trình quy định tại điểm b khoản 2 Điều này.</w:t>
      </w:r>
    </w:p>
    <w:p>
      <w:pPr>
        <w:pStyle w:val="Normal(Web)"/>
        <w:divId w:val="30"/>
        <w:rPr>
          <w:vanish w:val="0"/>
        </w:rPr>
      </w:pPr>
      <w:r>
        <w:t xml:space="preserve">- Công trình cấp IV, cấp III, cấp II thuộc các loại: nhà máy lọc hóa dầu, chế biến khí, nhà kho và tuyến đường ống (dẫn xăng, dầu, khí hóa lỏng), nhà máy sản xuất và kho chứa hóa chất nguy hiểm, nhà máy sản xuất và kho chứa vật liệu nổ công nghiệp, trừ các công trình quy định tại </w:t>
      </w:r>
      <w:r>
        <w:t xml:space="preserve">điểm</w:t>
      </w:r>
      <w:r>
        <w:t xml:space="preserve"> c khoản 2 Điều này.”</w:t>
      </w:r>
    </w:p>
    <w:p>
      <w:pPr>
        <w:pStyle w:val="Normal(Web)"/>
        <w:divId w:val="31"/>
        <w:rPr>
          <w:vanish w:val="0"/>
        </w:rPr>
      </w:pPr>
      <w:r>
        <w:t xml:space="preserve">5. Bổ sung khoản 10 Điều 25 như sau:</w:t>
      </w:r>
    </w:p>
    <w:p>
      <w:pPr>
        <w:pStyle w:val="Normal(Web)"/>
        <w:divId w:val="32"/>
        <w:rPr>
          <w:vanish w:val="0"/>
        </w:rPr>
      </w:pPr>
      <w:r>
        <w:t xml:space="preserve">“10. Cơ quan quản lý nhà nước về xây dựng không thực hiện kiểm tra công tác nghiệm thu đưa công trình vào khai thác sử dụng đối với các công trình đã được Hội đồng nghiệm thu Nhà nước các công trình xây dựng </w:t>
      </w:r>
      <w:r>
        <w:t xml:space="preserve">tổ chức</w:t>
      </w:r>
      <w:r>
        <w:t xml:space="preserve"> kiểm tra, nghiệm thu.”</w:t>
      </w:r>
    </w:p>
    <w:p>
      <w:pPr>
        <w:pStyle w:val="Normal(Web)"/>
        <w:divId w:val="33"/>
        <w:rPr>
          <w:vanish w:val="0"/>
        </w:rPr>
      </w:pPr>
      <w:r>
        <w:t xml:space="preserve">6. Sửa đổi, bổ sung quy định về việc sử dụng phân cấp công trình tại Phụ lục I</w:t>
      </w:r>
    </w:p>
    <w:p>
      <w:pPr>
        <w:pStyle w:val="Normal(Web)"/>
        <w:divId w:val="34"/>
        <w:rPr>
          <w:vanish w:val="0"/>
        </w:rPr>
      </w:pPr>
      <w:r>
        <w:t xml:space="preserve">a) Sửa đổi khoản I.1.1.2. Nhà ở riêng lẻ thuộc mục </w:t>
      </w:r>
      <w:r>
        <w:rPr>
          <w:b/>
        </w:rPr>
        <w:t xml:space="preserve">I.1.1 Nhà ở</w:t>
      </w:r>
      <w:r>
        <w:t xml:space="preserve"> trong </w:t>
      </w:r>
      <w:r>
        <w:rPr>
          <w:b/>
        </w:rPr>
        <w:t xml:space="preserve">Bảng I.1 Phân cấp các loại công trình dân dụng</w:t>
      </w:r>
      <w:r>
        <w:t xml:space="preserve">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jc w:val="left"/>
        </w:trPr>
        <w:tc>
          <w:tcPr>
            <w:tcW w:w="0" w:type="auto"/>
            <w:vMerge w:val="restart"/>
            <w:shd w:val="clear" w:color="auto" w:fill="auto"/>
            <w:vAlign w:val="center"/>
          </w:tcPr>
          <w:p>
            <w:pPr>
              <w:pStyle w:val="Normal(Web)"/>
              <w:divId w:val="35"/>
              <w:jc w:val="center"/>
              <w:rPr>
                <w:vanish w:val="0"/>
              </w:rPr>
            </w:pPr>
            <w:r>
              <w:rPr>
                <w:b/>
              </w:rPr>
              <w:t xml:space="preserve">Mã </w:t>
            </w:r>
            <w:r>
              <w:rPr>
                <w:b/>
              </w:rPr>
              <w:t xml:space="preserve">số</w:t>
            </w:r>
          </w:p>
        </w:tc>
        <w:tc>
          <w:tcPr>
            <w:tcW w:w="0" w:type="auto"/>
            <w:hMerge w:val="restart"/>
            <w:vMerge w:val="restart"/>
            <w:shd w:val="clear" w:color="auto" w:fill="auto"/>
            <w:vAlign w:val="center"/>
          </w:tcPr>
          <w:p>
            <w:pPr>
              <w:pStyle w:val="Normal(Web)"/>
              <w:divId w:val="36"/>
              <w:jc w:val="center"/>
              <w:rPr>
                <w:vanish w:val="0"/>
              </w:rPr>
            </w:pPr>
            <w:r>
              <w:rPr>
                <w:b/>
              </w:rPr>
              <w:t xml:space="preserve">Loại công trình</w:t>
            </w:r>
          </w:p>
        </w:tc>
        <w:tc>
          <w:tcPr>
            <w:tcW w:w="0" w:type="auto"/>
            <w:hMerge/>
            <w:shd w:val="clear" w:color="auto" w:fill="auto"/>
            <w:vAlign w:val="center"/>
          </w:tcPr>
          <w:p>
            <w:pPr/>
          </w:p>
        </w:tc>
        <w:tc>
          <w:tcPr>
            <w:tcW w:w="0" w:type="auto"/>
            <w:vMerge w:val="restart"/>
            <w:shd w:val="clear" w:color="auto" w:fill="auto"/>
            <w:vAlign w:val="center"/>
          </w:tcPr>
          <w:p>
            <w:pPr>
              <w:pStyle w:val="Normal(Web)"/>
              <w:divId w:val="37"/>
              <w:jc w:val="center"/>
              <w:rPr>
                <w:vanish w:val="0"/>
              </w:rPr>
            </w:pPr>
            <w:r>
              <w:rPr>
                <w:b/>
              </w:rPr>
              <w:t xml:space="preserve">Tiêu chí phân cấp</w:t>
            </w:r>
          </w:p>
        </w:tc>
        <w:tc>
          <w:tcPr>
            <w:tcW w:w="0" w:type="auto"/>
            <w:gridSpan w:val="4"/>
            <w:hMerge w:val="restart"/>
            <w:shd w:val="clear" w:color="auto" w:fill="auto"/>
            <w:vAlign w:val="center"/>
          </w:tcPr>
          <w:p>
            <w:pPr>
              <w:pStyle w:val="Normal(Web)"/>
              <w:divId w:val="38"/>
              <w:jc w:val="center"/>
              <w:rPr>
                <w:vanish w:val="0"/>
              </w:rPr>
            </w:pPr>
            <w:r>
              <w:rPr>
                <w:b/>
              </w:rPr>
              <w:t xml:space="preserve">Cấp</w:t>
            </w:r>
            <w:r>
              <w:rPr>
                <w:b/>
              </w:rPr>
              <w:t xml:space="preserve"> công trình</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divId w:val="39"/>
              <w:jc w:val="center"/>
              <w:rPr>
                <w:vanish w:val="0"/>
              </w:rPr>
            </w:pPr>
            <w:r>
              <w:rPr>
                <w:b/>
              </w:rPr>
              <w:t xml:space="preserve">Đặc biệt</w:t>
            </w:r>
          </w:p>
        </w:tc>
        <w:tc>
          <w:tcPr>
            <w:tcW w:w="0" w:type="auto"/>
            <w:gridSpan w:val="4"/>
            <w:shd w:val="clear" w:color="auto" w:fill="auto"/>
            <w:vAlign w:val="center"/>
          </w:tcPr>
          <w:p>
            <w:pPr>
              <w:pStyle w:val="Normal(Web)"/>
              <w:divId w:val="40"/>
              <w:jc w:val="center"/>
              <w:rPr>
                <w:vanish w:val="0"/>
              </w:rPr>
            </w:pPr>
            <w:r>
              <w:rPr>
                <w:b/>
              </w:rPr>
              <w:t xml:space="preserve">I</w:t>
            </w:r>
          </w:p>
        </w:tc>
        <w:tc>
          <w:tcPr>
            <w:tcW w:w="0" w:type="auto"/>
            <w:gridSpan w:val="4"/>
            <w:shd w:val="clear" w:color="auto" w:fill="auto"/>
            <w:vAlign w:val="center"/>
          </w:tcPr>
          <w:p>
            <w:pPr>
              <w:pStyle w:val="Normal(Web)"/>
              <w:divId w:val="41"/>
              <w:jc w:val="center"/>
              <w:rPr>
                <w:vanish w:val="0"/>
              </w:rPr>
            </w:pPr>
            <w:r>
              <w:rPr>
                <w:b/>
              </w:rPr>
              <w:t xml:space="preserve">II</w:t>
            </w:r>
          </w:p>
        </w:tc>
        <w:tc>
          <w:tcPr>
            <w:tcW w:w="0" w:type="auto"/>
            <w:gridSpan w:val="4"/>
            <w:shd w:val="clear" w:color="auto" w:fill="auto"/>
            <w:vAlign w:val="center"/>
          </w:tcPr>
          <w:p>
            <w:pPr>
              <w:pStyle w:val="Normal(Web)"/>
              <w:divId w:val="42"/>
              <w:jc w:val="center"/>
              <w:rPr>
                <w:vanish w:val="0"/>
              </w:rPr>
            </w:pPr>
            <w:r>
              <w:rPr>
                <w:b/>
              </w:rPr>
              <w:t xml:space="preserve">III</w:t>
            </w:r>
          </w:p>
        </w:tc>
        <w:tc>
          <w:tcPr>
            <w:tcW w:w="0" w:type="auto"/>
            <w:gridSpan w:val="4"/>
            <w:shd w:val="clear" w:color="auto" w:fill="auto"/>
            <w:vAlign w:val="center"/>
          </w:tcPr>
          <w:p>
            <w:pPr>
              <w:pStyle w:val="Normal(Web)"/>
              <w:divId w:val="43"/>
              <w:jc w:val="center"/>
              <w:rPr>
                <w:vanish w:val="0"/>
              </w:rPr>
            </w:pPr>
            <w:r>
              <w:rPr>
                <w:b/>
              </w:rPr>
              <w:t xml:space="preserve">IV</w:t>
            </w:r>
          </w:p>
        </w:tc>
      </w:tr>
      <w:tr>
        <w:trPr>
          <w:jc w:val="left"/>
        </w:trPr>
        <w:tc>
          <w:tcPr>
            <w:tcW w:w="0" w:type="auto"/>
            <w:shd w:val="clear" w:color="auto" w:fill="auto"/>
            <w:vAlign w:val="center"/>
          </w:tcPr>
          <w:p>
            <w:pPr>
              <w:pStyle w:val="Normal(Web)"/>
              <w:divId w:val="44"/>
              <w:rPr>
                <w:vanish w:val="0"/>
              </w:rPr>
            </w:pPr>
            <w:r>
              <w:t xml:space="preserve">I.1.1</w:t>
            </w:r>
          </w:p>
        </w:tc>
        <w:tc>
          <w:tcPr>
            <w:tcW w:w="0" w:type="auto"/>
            <w:shd w:val="clear" w:color="auto" w:fill="auto"/>
            <w:vAlign w:val="center"/>
          </w:tcPr>
          <w:p>
            <w:pPr>
              <w:pStyle w:val="Normal(Web)"/>
              <w:divId w:val="45"/>
              <w:rPr>
                <w:vanish w:val="0"/>
              </w:rPr>
            </w:pPr>
            <w:r>
              <w:t xml:space="preserve">Nhà ở</w:t>
            </w:r>
          </w:p>
        </w:tc>
        <w:tc>
          <w:tcPr>
            <w:tcW w:w="0" w:type="auto"/>
            <w:shd w:val="clear" w:color="auto" w:fill="auto"/>
            <w:vAlign w:val="center"/>
          </w:tcPr>
          <w:p>
            <w:pPr>
              <w:pStyle w:val="Normal(Web)"/>
              <w:divId w:val="46"/>
              <w:rPr>
                <w:vanish w:val="0"/>
              </w:rPr>
            </w:pPr>
            <w:r>
              <w:t xml:space="preserve">I.1.1.2. Nhà ở riêng lẻ </w:t>
            </w:r>
            <w:r>
              <w:rPr>
                <w:i/>
              </w:rPr>
              <w:t xml:space="preserve">(nhà biệt thự không nhỏ hơn cấp III)</w:t>
            </w:r>
          </w:p>
        </w:tc>
        <w:tc>
          <w:tcPr>
            <w:tcW w:w="0" w:type="auto"/>
            <w:shd w:val="clear" w:color="auto" w:fill="auto"/>
            <w:vAlign w:val="center"/>
          </w:tcPr>
          <w:p>
            <w:pPr>
              <w:pStyle w:val="Normal(Web)"/>
              <w:divId w:val="47"/>
              <w:jc w:val="center"/>
              <w:rPr>
                <w:vanish w:val="0"/>
              </w:rPr>
            </w:pPr>
            <w:r>
              <w:t xml:space="preserve">Số tầng</w:t>
            </w:r>
          </w:p>
        </w:tc>
        <w:tc>
          <w:tcPr>
            <w:tcW w:w="0" w:type="auto"/>
            <w:gridSpan w:val="4"/>
            <w:shd w:val="clear" w:color="auto" w:fill="auto"/>
            <w:vAlign w:val="center"/>
          </w:tcPr>
          <w:p>
            <w:pPr>
              <w:pStyle w:val="Normal(Web)"/>
              <w:divId w:val="48"/>
              <w:jc w:val="center"/>
              <w:rPr>
                <w:vanish w:val="0"/>
              </w:rPr>
            </w:pPr>
            <w:r>
              <w:t xml:space="preserve">-</w:t>
            </w:r>
          </w:p>
        </w:tc>
        <w:tc>
          <w:tcPr>
            <w:tcW w:w="0" w:type="auto"/>
            <w:gridSpan w:val="4"/>
            <w:shd w:val="clear" w:color="auto" w:fill="auto"/>
            <w:vAlign w:val="center"/>
          </w:tcPr>
          <w:p>
            <w:pPr>
              <w:pStyle w:val="Normal(Web)"/>
              <w:divId w:val="49"/>
              <w:jc w:val="center"/>
              <w:rPr>
                <w:vanish w:val="0"/>
              </w:rPr>
            </w:pPr>
            <w:r>
              <w:t xml:space="preserve">-</w:t>
            </w:r>
          </w:p>
        </w:tc>
        <w:tc>
          <w:tcPr>
            <w:tcW w:w="0" w:type="auto"/>
            <w:gridSpan w:val="4"/>
            <w:shd w:val="clear" w:color="auto" w:fill="auto"/>
            <w:vAlign w:val="center"/>
          </w:tcPr>
          <w:p>
            <w:pPr>
              <w:pStyle w:val="Normal(Web)"/>
              <w:divId w:val="50"/>
              <w:jc w:val="center"/>
              <w:rPr>
                <w:vanish w:val="0"/>
              </w:rPr>
            </w:pPr>
            <w:r>
              <w:t xml:space="preserve">&gt; 7</w:t>
            </w:r>
          </w:p>
        </w:tc>
        <w:tc>
          <w:tcPr>
            <w:tcW w:w="0" w:type="auto"/>
            <w:gridSpan w:val="4"/>
            <w:shd w:val="clear" w:color="auto" w:fill="auto"/>
            <w:vAlign w:val="center"/>
          </w:tcPr>
          <w:p>
            <w:pPr>
              <w:pStyle w:val="Normal(Web)"/>
              <w:divId w:val="51"/>
              <w:jc w:val="center"/>
              <w:rPr>
                <w:vanish w:val="0"/>
              </w:rPr>
            </w:pPr>
            <w:r>
              <w:t xml:space="preserve">≤ 7</w:t>
            </w:r>
          </w:p>
        </w:tc>
        <w:tc>
          <w:tcPr>
            <w:tcW w:w="0" w:type="auto"/>
            <w:gridSpan w:val="4"/>
            <w:shd w:val="clear" w:color="auto" w:fill="auto"/>
            <w:vAlign w:val="center"/>
          </w:tcPr>
          <w:p>
            <w:pPr>
              <w:pStyle w:val="Normal(Web)"/>
              <w:divId w:val="52"/>
              <w:jc w:val="center"/>
              <w:rPr>
                <w:vanish w:val="0"/>
              </w:rPr>
            </w:pPr>
            <w:r>
              <w:t xml:space="preserve">-</w:t>
            </w:r>
          </w:p>
        </w:tc>
      </w:tr>
    </w:tbl>
    <w:p>
      <w:pPr>
        <w:pStyle w:val="Normal(Web)"/>
        <w:divId w:val="53"/>
        <w:rPr>
          <w:vanish w:val="0"/>
        </w:rPr>
      </w:pPr>
      <w:r>
        <w:t xml:space="preserve">b) Bổ sung điểm d khoản I.1.2.3. Công trình thể thao: sân vận động, nhà thi đấu, tập luyện và công trình thể thao khác thuộc </w:t>
      </w:r>
      <w:r>
        <w:rPr>
          <w:b/>
        </w:rPr>
        <w:t xml:space="preserve">mục I.1.2 Công trình công cộng trong Bảng I.1 Phân cấp các loại công trình dân dụng</w:t>
      </w:r>
      <w:r>
        <w:t xml:space="preserve">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jc w:val="left"/>
        </w:trPr>
        <w:tc>
          <w:tcPr>
            <w:tcW w:w="0" w:type="auto"/>
            <w:vMerge w:val="restart"/>
            <w:shd w:val="clear" w:color="auto" w:fill="auto"/>
            <w:vAlign w:val="center"/>
          </w:tcPr>
          <w:p>
            <w:pPr>
              <w:pStyle w:val="Normal(Web)"/>
              <w:divId w:val="54"/>
              <w:jc w:val="center"/>
              <w:rPr>
                <w:vanish w:val="0"/>
              </w:rPr>
            </w:pPr>
            <w:r>
              <w:rPr>
                <w:b/>
              </w:rPr>
              <w:t xml:space="preserve">Mã số</w:t>
            </w:r>
          </w:p>
        </w:tc>
        <w:tc>
          <w:tcPr>
            <w:tcW w:w="0" w:type="auto"/>
            <w:hMerge w:val="restart"/>
            <w:vMerge w:val="restart"/>
            <w:shd w:val="clear" w:color="auto" w:fill="auto"/>
            <w:vAlign w:val="center"/>
          </w:tcPr>
          <w:p>
            <w:pPr>
              <w:pStyle w:val="Normal(Web)"/>
              <w:divId w:val="55"/>
              <w:jc w:val="center"/>
              <w:rPr>
                <w:vanish w:val="0"/>
              </w:rPr>
            </w:pPr>
            <w:r>
              <w:rPr>
                <w:b/>
              </w:rPr>
              <w:t xml:space="preserve">Loại công trình</w:t>
            </w:r>
          </w:p>
        </w:tc>
        <w:tc>
          <w:tcPr>
            <w:tcW w:w="0" w:type="auto"/>
            <w:hMerge/>
            <w:shd w:val="clear" w:color="auto" w:fill="auto"/>
            <w:vAlign w:val="center"/>
          </w:tcPr>
          <w:p>
            <w:pPr/>
          </w:p>
        </w:tc>
        <w:tc>
          <w:tcPr>
            <w:tcW w:w="0" w:type="auto"/>
            <w:vMerge w:val="restart"/>
            <w:shd w:val="clear" w:color="auto" w:fill="auto"/>
            <w:vAlign w:val="center"/>
          </w:tcPr>
          <w:p>
            <w:pPr>
              <w:pStyle w:val="Normal(Web)"/>
              <w:divId w:val="56"/>
              <w:jc w:val="center"/>
              <w:rPr>
                <w:vanish w:val="0"/>
              </w:rPr>
            </w:pPr>
            <w:r>
              <w:rPr>
                <w:b/>
              </w:rPr>
              <w:t xml:space="preserve">Tiêu chí phân cấp</w:t>
            </w:r>
          </w:p>
        </w:tc>
        <w:tc>
          <w:tcPr>
            <w:tcW w:w="0" w:type="auto"/>
            <w:gridSpan w:val="4"/>
            <w:hMerge w:val="restart"/>
            <w:shd w:val="clear" w:color="auto" w:fill="auto"/>
            <w:vAlign w:val="center"/>
          </w:tcPr>
          <w:p>
            <w:pPr>
              <w:pStyle w:val="Normal(Web)"/>
              <w:divId w:val="57"/>
              <w:jc w:val="center"/>
              <w:rPr>
                <w:vanish w:val="0"/>
              </w:rPr>
            </w:pPr>
            <w:r>
              <w:rPr>
                <w:b/>
              </w:rPr>
              <w:t xml:space="preserve">Cấp công trình</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divId w:val="58"/>
              <w:jc w:val="center"/>
              <w:rPr>
                <w:vanish w:val="0"/>
              </w:rPr>
            </w:pPr>
            <w:r>
              <w:rPr>
                <w:b/>
              </w:rPr>
              <w:t xml:space="preserve">Đặc biệt</w:t>
            </w:r>
          </w:p>
        </w:tc>
        <w:tc>
          <w:tcPr>
            <w:tcW w:w="0" w:type="auto"/>
            <w:gridSpan w:val="4"/>
            <w:shd w:val="clear" w:color="auto" w:fill="auto"/>
            <w:vAlign w:val="center"/>
          </w:tcPr>
          <w:p>
            <w:pPr>
              <w:pStyle w:val="Normal(Web)"/>
              <w:divId w:val="59"/>
              <w:jc w:val="center"/>
              <w:rPr>
                <w:vanish w:val="0"/>
              </w:rPr>
            </w:pPr>
            <w:r>
              <w:rPr>
                <w:b/>
              </w:rPr>
              <w:t xml:space="preserve">I</w:t>
            </w:r>
          </w:p>
        </w:tc>
        <w:tc>
          <w:tcPr>
            <w:tcW w:w="0" w:type="auto"/>
            <w:gridSpan w:val="4"/>
            <w:shd w:val="clear" w:color="auto" w:fill="auto"/>
            <w:vAlign w:val="center"/>
          </w:tcPr>
          <w:p>
            <w:pPr>
              <w:pStyle w:val="Normal(Web)"/>
              <w:divId w:val="60"/>
              <w:jc w:val="center"/>
              <w:rPr>
                <w:vanish w:val="0"/>
              </w:rPr>
            </w:pPr>
            <w:r>
              <w:rPr>
                <w:b/>
              </w:rPr>
              <w:t xml:space="preserve">II</w:t>
            </w:r>
          </w:p>
        </w:tc>
        <w:tc>
          <w:tcPr>
            <w:tcW w:w="0" w:type="auto"/>
            <w:gridSpan w:val="4"/>
            <w:shd w:val="clear" w:color="auto" w:fill="auto"/>
            <w:vAlign w:val="center"/>
          </w:tcPr>
          <w:p>
            <w:pPr>
              <w:pStyle w:val="Normal(Web)"/>
              <w:divId w:val="61"/>
              <w:jc w:val="center"/>
              <w:rPr>
                <w:vanish w:val="0"/>
              </w:rPr>
            </w:pPr>
            <w:r>
              <w:rPr>
                <w:b/>
              </w:rPr>
              <w:t xml:space="preserve">III</w:t>
            </w:r>
          </w:p>
        </w:tc>
        <w:tc>
          <w:tcPr>
            <w:tcW w:w="0" w:type="auto"/>
            <w:gridSpan w:val="4"/>
            <w:shd w:val="clear" w:color="auto" w:fill="auto"/>
            <w:vAlign w:val="center"/>
          </w:tcPr>
          <w:p>
            <w:pPr>
              <w:pStyle w:val="Normal(Web)"/>
              <w:divId w:val="62"/>
              <w:jc w:val="center"/>
              <w:rPr>
                <w:vanish w:val="0"/>
              </w:rPr>
            </w:pPr>
            <w:r>
              <w:rPr>
                <w:b/>
              </w:rPr>
              <w:t xml:space="preserve">IV</w:t>
            </w:r>
          </w:p>
        </w:tc>
      </w:tr>
      <w:tr>
        <w:trPr>
          <w:jc w:val="left"/>
        </w:trPr>
        <w:tc>
          <w:tcPr>
            <w:tcW w:w="0" w:type="auto"/>
            <w:vMerge w:val="restart"/>
            <w:shd w:val="clear" w:color="auto" w:fill="auto"/>
            <w:vAlign w:val="center"/>
          </w:tcPr>
          <w:p>
            <w:pPr>
              <w:pStyle w:val="Normal(Web)"/>
              <w:divId w:val="63"/>
              <w:jc w:val="center"/>
              <w:rPr>
                <w:vanish w:val="0"/>
              </w:rPr>
            </w:pPr>
            <w:r>
              <w:t xml:space="preserve">I.1.2</w:t>
            </w:r>
          </w:p>
        </w:tc>
        <w:tc>
          <w:tcPr>
            <w:tcW w:w="0" w:type="auto"/>
            <w:vMerge w:val="restart"/>
            <w:shd w:val="clear" w:color="auto" w:fill="auto"/>
            <w:vAlign w:val="center"/>
          </w:tcPr>
          <w:p>
            <w:pPr>
              <w:pStyle w:val="Normal(Web)"/>
              <w:divId w:val="64"/>
              <w:jc w:val="center"/>
              <w:rPr>
                <w:vanish w:val="0"/>
              </w:rPr>
            </w:pPr>
            <w:r>
              <w:t xml:space="preserve">Công trình công cộng</w:t>
            </w:r>
          </w:p>
        </w:tc>
        <w:tc>
          <w:tcPr>
            <w:tcW w:w="0" w:type="auto"/>
            <w:hMerge w:val="restart"/>
            <w:shd w:val="clear" w:color="auto" w:fill="auto"/>
            <w:vAlign w:val="center"/>
          </w:tcPr>
          <w:p>
            <w:pPr>
              <w:pStyle w:val="Normal(Web)"/>
              <w:divId w:val="65"/>
              <w:rPr>
                <w:vanish w:val="0"/>
              </w:rPr>
            </w:pPr>
            <w:r>
              <w:t xml:space="preserve">I.1.2.3. Công trình thể thao: sân vận động, nhà thi đấu, tập luyện và công trình thể thao khác</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66"/>
              <w:rPr>
                <w:vanish w:val="0"/>
              </w:rPr>
            </w:pPr>
            <w:r>
              <w:t xml:space="preserve">d) Công trình thể thao dưới nước </w:t>
            </w:r>
            <w:r>
              <w:rPr>
                <w:i/>
              </w:rPr>
              <w:t xml:space="preserve">(Công trình thể thao Quốc gia không nhỏ hơn cấp I)</w:t>
            </w:r>
          </w:p>
        </w:tc>
        <w:tc>
          <w:tcPr>
            <w:tcW w:w="0" w:type="auto"/>
            <w:shd w:val="clear" w:color="auto" w:fill="auto"/>
            <w:vAlign w:val="center"/>
          </w:tcPr>
          <w:p>
            <w:pPr>
              <w:pStyle w:val="Normal(Web)"/>
              <w:divId w:val="67"/>
              <w:jc w:val="center"/>
              <w:rPr>
                <w:vanish w:val="0"/>
              </w:rPr>
            </w:pPr>
            <w:r>
              <w:t xml:space="preserve">Sức chứa (nghìn chỗ)</w:t>
            </w:r>
          </w:p>
        </w:tc>
        <w:tc>
          <w:tcPr>
            <w:tcW w:w="0" w:type="auto"/>
            <w:gridSpan w:val="4"/>
            <w:shd w:val="clear" w:color="auto" w:fill="auto"/>
            <w:vAlign w:val="center"/>
          </w:tcPr>
          <w:p>
            <w:pPr>
              <w:pStyle w:val="Normal(Web)"/>
              <w:divId w:val="68"/>
              <w:jc w:val="center"/>
              <w:rPr>
                <w:vanish w:val="0"/>
              </w:rPr>
            </w:pPr>
            <w:r>
              <w:t xml:space="preserve">Bể bơi thi đấu đạt tiêu chuẩn quốc tế, sức chứa &gt; 7.5</w:t>
            </w:r>
          </w:p>
        </w:tc>
        <w:tc>
          <w:tcPr>
            <w:tcW w:w="0" w:type="auto"/>
            <w:gridSpan w:val="4"/>
            <w:shd w:val="clear" w:color="auto" w:fill="auto"/>
            <w:vAlign w:val="center"/>
          </w:tcPr>
          <w:p>
            <w:pPr>
              <w:pStyle w:val="Normal(Web)"/>
              <w:divId w:val="69"/>
              <w:jc w:val="center"/>
              <w:rPr>
                <w:vanish w:val="0"/>
              </w:rPr>
            </w:pPr>
            <w:r>
              <w:t xml:space="preserve">Bể bơi thi đấu, sức chứa 5 ÷ 7.5</w:t>
            </w:r>
          </w:p>
        </w:tc>
        <w:tc>
          <w:tcPr>
            <w:tcW w:w="0" w:type="auto"/>
            <w:gridSpan w:val="4"/>
            <w:shd w:val="clear" w:color="auto" w:fill="auto"/>
            <w:vAlign w:val="center"/>
          </w:tcPr>
          <w:p>
            <w:pPr>
              <w:pStyle w:val="Normal(Web)"/>
              <w:divId w:val="70"/>
              <w:jc w:val="center"/>
              <w:rPr>
                <w:vanish w:val="0"/>
              </w:rPr>
            </w:pPr>
            <w:r>
              <w:t xml:space="preserve">Bể bơi thi đấu, sức chứa 2 ÷ &lt;&gt;</w:t>
            </w:r>
          </w:p>
        </w:tc>
        <w:tc>
          <w:tcPr>
            <w:tcW w:w="0" w:type="auto"/>
            <w:gridSpan w:val="4"/>
            <w:shd w:val="clear" w:color="auto" w:fill="auto"/>
            <w:vAlign w:val="center"/>
          </w:tcPr>
          <w:p>
            <w:pPr>
              <w:pStyle w:val="Normal(Web)"/>
              <w:divId w:val="71"/>
              <w:jc w:val="center"/>
              <w:rPr>
                <w:vanish w:val="0"/>
              </w:rPr>
            </w:pPr>
            <w:r>
              <w:t xml:space="preserve">Bể bơi thi đấu, sức chứa &lt;&gt;</w:t>
            </w:r>
          </w:p>
        </w:tc>
        <w:tc>
          <w:tcPr>
            <w:tcW w:w="0" w:type="auto"/>
            <w:gridSpan w:val="4"/>
            <w:shd w:val="clear" w:color="auto" w:fill="auto"/>
            <w:vAlign w:val="center"/>
          </w:tcPr>
          <w:p>
            <w:pPr>
              <w:pStyle w:val="Normal(Web)"/>
              <w:divId w:val="72"/>
              <w:jc w:val="center"/>
              <w:rPr>
                <w:vanish w:val="0"/>
              </w:rPr>
            </w:pPr>
            <w:r>
              <w:t xml:space="preserve">Bể bơi cho thể thao phong trào</w:t>
            </w:r>
          </w:p>
        </w:tc>
      </w:tr>
    </w:tbl>
    <w:p>
      <w:pPr>
        <w:pStyle w:val="Normal(Web)"/>
        <w:divId w:val="73"/>
        <w:rPr>
          <w:vanish w:val="0"/>
        </w:rPr>
      </w:pPr>
      <w:r>
        <w:t xml:space="preserve">c) Sửa đổi điểm d khoản I.1.2.5 Công trình thương mại và dịch vụ thuộc mục </w:t>
      </w:r>
      <w:r>
        <w:rPr>
          <w:b/>
        </w:rPr>
        <w:t xml:space="preserve">I.1.2 Công trình công cộng trong Bảng I.1 Phân cấp các loại công trình dân dụng</w:t>
      </w:r>
      <w:r>
        <w:t xml:space="preserve">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jc w:val="left"/>
        </w:trPr>
        <w:tc>
          <w:tcPr>
            <w:tcW w:w="0" w:type="auto"/>
            <w:vMerge w:val="restart"/>
            <w:shd w:val="clear" w:color="auto" w:fill="auto"/>
            <w:vAlign w:val="center"/>
          </w:tcPr>
          <w:p>
            <w:pPr>
              <w:pStyle w:val="Normal(Web)"/>
              <w:divId w:val="74"/>
              <w:jc w:val="center"/>
              <w:rPr>
                <w:vanish w:val="0"/>
              </w:rPr>
            </w:pPr>
            <w:r>
              <w:rPr>
                <w:b/>
              </w:rPr>
              <w:t xml:space="preserve">Mã số</w:t>
            </w:r>
          </w:p>
        </w:tc>
        <w:tc>
          <w:tcPr>
            <w:tcW w:w="0" w:type="auto"/>
            <w:hMerge w:val="restart"/>
            <w:vMerge w:val="restart"/>
            <w:shd w:val="clear" w:color="auto" w:fill="auto"/>
            <w:vAlign w:val="center"/>
          </w:tcPr>
          <w:p>
            <w:pPr>
              <w:pStyle w:val="Normal(Web)"/>
              <w:divId w:val="75"/>
              <w:jc w:val="center"/>
              <w:rPr>
                <w:vanish w:val="0"/>
              </w:rPr>
            </w:pPr>
            <w:r>
              <w:rPr>
                <w:b/>
              </w:rPr>
              <w:t xml:space="preserve">Loại công trình</w:t>
            </w:r>
          </w:p>
        </w:tc>
        <w:tc>
          <w:tcPr>
            <w:tcW w:w="0" w:type="auto"/>
            <w:hMerge/>
            <w:shd w:val="clear" w:color="auto" w:fill="auto"/>
            <w:vAlign w:val="center"/>
          </w:tcPr>
          <w:p>
            <w:pPr/>
          </w:p>
        </w:tc>
        <w:tc>
          <w:tcPr>
            <w:tcW w:w="0" w:type="auto"/>
            <w:vMerge w:val="restart"/>
            <w:shd w:val="clear" w:color="auto" w:fill="auto"/>
            <w:vAlign w:val="center"/>
          </w:tcPr>
          <w:p>
            <w:pPr>
              <w:pStyle w:val="Normal(Web)"/>
              <w:divId w:val="76"/>
              <w:jc w:val="center"/>
              <w:rPr>
                <w:vanish w:val="0"/>
              </w:rPr>
            </w:pPr>
            <w:r>
              <w:rPr>
                <w:b/>
              </w:rPr>
              <w:t xml:space="preserve">Tiêu chí phân cấp</w:t>
            </w:r>
          </w:p>
        </w:tc>
        <w:tc>
          <w:tcPr>
            <w:tcW w:w="0" w:type="auto"/>
            <w:gridSpan w:val="4"/>
            <w:hMerge w:val="restart"/>
            <w:shd w:val="clear" w:color="auto" w:fill="auto"/>
            <w:vAlign w:val="center"/>
          </w:tcPr>
          <w:p>
            <w:pPr>
              <w:pStyle w:val="Normal(Web)"/>
              <w:divId w:val="77"/>
              <w:jc w:val="center"/>
              <w:rPr>
                <w:vanish w:val="0"/>
              </w:rPr>
            </w:pPr>
            <w:r>
              <w:rPr>
                <w:b/>
              </w:rPr>
              <w:t xml:space="preserve">Cấp công trình</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divId w:val="78"/>
              <w:jc w:val="center"/>
              <w:rPr>
                <w:vanish w:val="0"/>
              </w:rPr>
            </w:pPr>
            <w:r>
              <w:rPr>
                <w:b/>
              </w:rPr>
              <w:t xml:space="preserve">Đặc biệt</w:t>
            </w:r>
          </w:p>
        </w:tc>
        <w:tc>
          <w:tcPr>
            <w:tcW w:w="0" w:type="auto"/>
            <w:gridSpan w:val="4"/>
            <w:shd w:val="clear" w:color="auto" w:fill="auto"/>
            <w:vAlign w:val="center"/>
          </w:tcPr>
          <w:p>
            <w:pPr>
              <w:pStyle w:val="Normal(Web)"/>
              <w:divId w:val="79"/>
              <w:jc w:val="center"/>
              <w:rPr>
                <w:vanish w:val="0"/>
              </w:rPr>
            </w:pPr>
            <w:r>
              <w:rPr>
                <w:b/>
              </w:rPr>
              <w:t xml:space="preserve">I</w:t>
            </w:r>
          </w:p>
        </w:tc>
        <w:tc>
          <w:tcPr>
            <w:tcW w:w="0" w:type="auto"/>
            <w:gridSpan w:val="4"/>
            <w:shd w:val="clear" w:color="auto" w:fill="auto"/>
            <w:vAlign w:val="center"/>
          </w:tcPr>
          <w:p>
            <w:pPr>
              <w:pStyle w:val="Normal(Web)"/>
              <w:divId w:val="80"/>
              <w:jc w:val="center"/>
              <w:rPr>
                <w:vanish w:val="0"/>
              </w:rPr>
            </w:pPr>
            <w:r>
              <w:rPr>
                <w:b/>
              </w:rPr>
              <w:t xml:space="preserve">II</w:t>
            </w:r>
          </w:p>
        </w:tc>
        <w:tc>
          <w:tcPr>
            <w:tcW w:w="0" w:type="auto"/>
            <w:gridSpan w:val="4"/>
            <w:shd w:val="clear" w:color="auto" w:fill="auto"/>
            <w:vAlign w:val="center"/>
          </w:tcPr>
          <w:p>
            <w:pPr>
              <w:pStyle w:val="Normal(Web)"/>
              <w:divId w:val="81"/>
              <w:jc w:val="center"/>
              <w:rPr>
                <w:vanish w:val="0"/>
              </w:rPr>
            </w:pPr>
            <w:r>
              <w:rPr>
                <w:b/>
              </w:rPr>
              <w:t xml:space="preserve">III</w:t>
            </w:r>
          </w:p>
        </w:tc>
        <w:tc>
          <w:tcPr>
            <w:tcW w:w="0" w:type="auto"/>
            <w:gridSpan w:val="4"/>
            <w:shd w:val="clear" w:color="auto" w:fill="auto"/>
            <w:vAlign w:val="center"/>
          </w:tcPr>
          <w:p>
            <w:pPr>
              <w:pStyle w:val="Normal(Web)"/>
              <w:divId w:val="82"/>
              <w:jc w:val="center"/>
              <w:rPr>
                <w:vanish w:val="0"/>
              </w:rPr>
            </w:pPr>
            <w:r>
              <w:rPr>
                <w:b/>
              </w:rPr>
              <w:t xml:space="preserve">IV</w:t>
            </w:r>
          </w:p>
        </w:tc>
      </w:tr>
      <w:tr>
        <w:trPr>
          <w:jc w:val="left"/>
        </w:trPr>
        <w:tc>
          <w:tcPr>
            <w:tcW w:w="0" w:type="auto"/>
            <w:vMerge w:val="restart"/>
            <w:shd w:val="clear" w:color="auto" w:fill="auto"/>
            <w:vAlign w:val="center"/>
          </w:tcPr>
          <w:p>
            <w:pPr>
              <w:pStyle w:val="Normal(Web)"/>
              <w:divId w:val="83"/>
              <w:jc w:val="center"/>
              <w:rPr>
                <w:vanish w:val="0"/>
              </w:rPr>
            </w:pPr>
            <w:r>
              <w:t xml:space="preserve">I.1.2</w:t>
            </w:r>
          </w:p>
        </w:tc>
        <w:tc>
          <w:tcPr>
            <w:tcW w:w="0" w:type="auto"/>
            <w:vMerge w:val="restart"/>
            <w:shd w:val="clear" w:color="auto" w:fill="auto"/>
            <w:vAlign w:val="center"/>
          </w:tcPr>
          <w:p>
            <w:pPr>
              <w:pStyle w:val="Normal(Web)"/>
              <w:divId w:val="84"/>
              <w:jc w:val="center"/>
              <w:rPr>
                <w:vanish w:val="0"/>
              </w:rPr>
            </w:pPr>
            <w:r>
              <w:t xml:space="preserve">Công trình công cộng</w:t>
            </w:r>
          </w:p>
        </w:tc>
        <w:tc>
          <w:tcPr>
            <w:tcW w:w="0" w:type="auto"/>
            <w:hMerge w:val="restart"/>
            <w:shd w:val="clear" w:color="auto" w:fill="auto"/>
            <w:vAlign w:val="center"/>
          </w:tcPr>
          <w:p>
            <w:pPr>
              <w:pStyle w:val="Normal(Web)"/>
              <w:divId w:val="85"/>
              <w:rPr>
                <w:vanish w:val="0"/>
              </w:rPr>
            </w:pPr>
            <w:r>
              <w:t xml:space="preserve">I.1.2.3. Công trình thương mại và dịch vụ</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86"/>
              <w:rPr>
                <w:vanish w:val="0"/>
              </w:rPr>
            </w:pPr>
            <w:r>
              <w:t xml:space="preserve">d) Cửa hàng, nhà hàng ăn uống, giải khát và công trình thương mại dịch vụ khác.</w:t>
            </w:r>
          </w:p>
        </w:tc>
        <w:tc>
          <w:tcPr>
            <w:tcW w:w="0" w:type="auto"/>
            <w:shd w:val="clear" w:color="auto" w:fill="auto"/>
            <w:vAlign w:val="center"/>
          </w:tcPr>
          <w:p>
            <w:pPr>
              <w:pStyle w:val="Normal(Web)"/>
              <w:divId w:val="87"/>
              <w:jc w:val="center"/>
              <w:rPr>
                <w:vanish w:val="0"/>
              </w:rPr>
            </w:pPr>
            <w:r>
              <w:t xml:space="preserve">Tổng diện tích kinh doanh (nghìn m</w:t>
            </w:r>
            <w:r>
              <w:rPr>
                <w:vertAlign w:val="superscript"/>
              </w:rPr>
              <w:t xml:space="preserve">2</w:t>
            </w:r>
            <w:r>
              <w:t xml:space="preserve">)</w:t>
            </w:r>
          </w:p>
        </w:tc>
        <w:tc>
          <w:tcPr>
            <w:tcW w:w="0" w:type="auto"/>
            <w:gridSpan w:val="4"/>
            <w:shd w:val="clear" w:color="auto" w:fill="auto"/>
            <w:vAlign w:val="center"/>
          </w:tcPr>
          <w:p>
            <w:pPr>
              <w:pStyle w:val="Normal(Web)"/>
              <w:divId w:val="88"/>
              <w:jc w:val="center"/>
              <w:rPr>
                <w:vanish w:val="0"/>
              </w:rPr>
            </w:pPr>
            <w:r>
              <w:t xml:space="preserve">-</w:t>
            </w:r>
          </w:p>
        </w:tc>
        <w:tc>
          <w:tcPr>
            <w:tcW w:w="0" w:type="auto"/>
            <w:gridSpan w:val="4"/>
            <w:shd w:val="clear" w:color="auto" w:fill="auto"/>
            <w:vAlign w:val="center"/>
          </w:tcPr>
          <w:p>
            <w:pPr>
              <w:pStyle w:val="Normal(Web)"/>
              <w:divId w:val="89"/>
              <w:jc w:val="center"/>
              <w:rPr>
                <w:vanish w:val="0"/>
              </w:rPr>
            </w:pPr>
            <w:r>
              <w:t xml:space="preserve">&gt; 3</w:t>
            </w:r>
          </w:p>
        </w:tc>
        <w:tc>
          <w:tcPr>
            <w:tcW w:w="0" w:type="auto"/>
            <w:gridSpan w:val="4"/>
            <w:shd w:val="clear" w:color="auto" w:fill="auto"/>
            <w:vAlign w:val="center"/>
          </w:tcPr>
          <w:p>
            <w:pPr>
              <w:pStyle w:val="Normal(Web)"/>
              <w:divId w:val="90"/>
              <w:jc w:val="center"/>
              <w:rPr>
                <w:vanish w:val="0"/>
              </w:rPr>
            </w:pPr>
            <w:r>
              <w:t xml:space="preserve">0,5 ÷ 3</w:t>
            </w:r>
          </w:p>
        </w:tc>
        <w:tc>
          <w:tcPr>
            <w:tcW w:w="0" w:type="auto"/>
            <w:gridSpan w:val="4"/>
            <w:shd w:val="clear" w:color="auto" w:fill="auto"/>
            <w:vAlign w:val="center"/>
          </w:tcPr>
          <w:p>
            <w:pPr>
              <w:pStyle w:val="Normal(Web)"/>
              <w:divId w:val="91"/>
              <w:jc w:val="center"/>
              <w:rPr>
                <w:vanish w:val="0"/>
              </w:rPr>
            </w:pPr>
            <w:r>
              <w:t xml:space="preserve">-</w:t>
            </w:r>
          </w:p>
        </w:tc>
      </w:tr>
    </w:tbl>
    <w:p>
      <w:pPr>
        <w:pStyle w:val="Normal(Web)"/>
        <w:divId w:val="92"/>
        <w:rPr>
          <w:vanish w:val="0"/>
        </w:rPr>
      </w:pPr>
      <w:r>
        <w:t xml:space="preserve">d) Sửa đổi điểm a khoản I.1.2.6 Công trình thông tin, truyền thông thuộc mục </w:t>
      </w:r>
      <w:r>
        <w:rPr>
          <w:b/>
        </w:rPr>
        <w:t xml:space="preserve">I.1.2 Công trình công cộng trong Bảng I.1 Phân cấp các loại công trình dân dụng</w:t>
      </w:r>
      <w:r>
        <w:t xml:space="preserve">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jc w:val="left"/>
        </w:trPr>
        <w:tc>
          <w:tcPr>
            <w:tcW w:w="0" w:type="auto"/>
            <w:vMerge w:val="restart"/>
            <w:shd w:val="clear" w:color="auto" w:fill="auto"/>
            <w:vAlign w:val="center"/>
          </w:tcPr>
          <w:p>
            <w:pPr>
              <w:pStyle w:val="Normal(Web)"/>
              <w:divId w:val="93"/>
              <w:jc w:val="center"/>
              <w:rPr>
                <w:vanish w:val="0"/>
              </w:rPr>
            </w:pPr>
            <w:r>
              <w:rPr>
                <w:b/>
              </w:rPr>
              <w:t xml:space="preserve">Mã số</w:t>
            </w:r>
          </w:p>
        </w:tc>
        <w:tc>
          <w:tcPr>
            <w:tcW w:w="0" w:type="auto"/>
            <w:hMerge w:val="restart"/>
            <w:vMerge w:val="restart"/>
            <w:shd w:val="clear" w:color="auto" w:fill="auto"/>
            <w:vAlign w:val="center"/>
          </w:tcPr>
          <w:p>
            <w:pPr>
              <w:pStyle w:val="Normal(Web)"/>
              <w:divId w:val="94"/>
              <w:jc w:val="center"/>
              <w:rPr>
                <w:vanish w:val="0"/>
              </w:rPr>
            </w:pPr>
            <w:r>
              <w:rPr>
                <w:b/>
              </w:rPr>
              <w:t xml:space="preserve">Loại công trình</w:t>
            </w:r>
          </w:p>
        </w:tc>
        <w:tc>
          <w:tcPr>
            <w:tcW w:w="0" w:type="auto"/>
            <w:hMerge/>
            <w:shd w:val="clear" w:color="auto" w:fill="auto"/>
            <w:vAlign w:val="center"/>
          </w:tcPr>
          <w:p>
            <w:pPr/>
          </w:p>
        </w:tc>
        <w:tc>
          <w:tcPr>
            <w:tcW w:w="0" w:type="auto"/>
            <w:vMerge w:val="restart"/>
            <w:shd w:val="clear" w:color="auto" w:fill="auto"/>
            <w:vAlign w:val="center"/>
          </w:tcPr>
          <w:p>
            <w:pPr>
              <w:pStyle w:val="Normal(Web)"/>
              <w:divId w:val="95"/>
              <w:jc w:val="center"/>
              <w:rPr>
                <w:vanish w:val="0"/>
              </w:rPr>
            </w:pPr>
            <w:r>
              <w:rPr>
                <w:b/>
              </w:rPr>
              <w:t xml:space="preserve">Tiêu chí phân cấp</w:t>
            </w:r>
          </w:p>
        </w:tc>
        <w:tc>
          <w:tcPr>
            <w:tcW w:w="0" w:type="auto"/>
            <w:gridSpan w:val="4"/>
            <w:hMerge w:val="restart"/>
            <w:shd w:val="clear" w:color="auto" w:fill="auto"/>
            <w:vAlign w:val="center"/>
          </w:tcPr>
          <w:p>
            <w:pPr>
              <w:pStyle w:val="Normal(Web)"/>
              <w:divId w:val="96"/>
              <w:jc w:val="center"/>
              <w:rPr>
                <w:vanish w:val="0"/>
              </w:rPr>
            </w:pPr>
            <w:r>
              <w:rPr>
                <w:b/>
              </w:rPr>
              <w:t xml:space="preserve">Cấp công trìn</w:t>
            </w:r>
            <w:r>
              <w:rPr>
                <w:b/>
              </w:rPr>
              <w:t xml:space="preserve">h</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divId w:val="97"/>
              <w:jc w:val="center"/>
              <w:rPr>
                <w:vanish w:val="0"/>
              </w:rPr>
            </w:pPr>
            <w:r>
              <w:rPr>
                <w:b/>
              </w:rPr>
              <w:t xml:space="preserve">Đặc biệt</w:t>
            </w:r>
          </w:p>
        </w:tc>
        <w:tc>
          <w:tcPr>
            <w:tcW w:w="0" w:type="auto"/>
            <w:gridSpan w:val="4"/>
            <w:shd w:val="clear" w:color="auto" w:fill="auto"/>
            <w:vAlign w:val="center"/>
          </w:tcPr>
          <w:p>
            <w:pPr>
              <w:pStyle w:val="Normal(Web)"/>
              <w:divId w:val="98"/>
              <w:jc w:val="center"/>
              <w:rPr>
                <w:vanish w:val="0"/>
              </w:rPr>
            </w:pPr>
            <w:r>
              <w:rPr>
                <w:b/>
              </w:rPr>
              <w:t xml:space="preserve">I</w:t>
            </w:r>
          </w:p>
        </w:tc>
        <w:tc>
          <w:tcPr>
            <w:tcW w:w="0" w:type="auto"/>
            <w:gridSpan w:val="4"/>
            <w:shd w:val="clear" w:color="auto" w:fill="auto"/>
            <w:vAlign w:val="center"/>
          </w:tcPr>
          <w:p>
            <w:pPr>
              <w:pStyle w:val="Normal(Web)"/>
              <w:divId w:val="99"/>
              <w:jc w:val="center"/>
              <w:rPr>
                <w:vanish w:val="0"/>
              </w:rPr>
            </w:pPr>
            <w:r>
              <w:rPr>
                <w:b/>
              </w:rPr>
              <w:t xml:space="preserve">II</w:t>
            </w:r>
          </w:p>
        </w:tc>
        <w:tc>
          <w:tcPr>
            <w:tcW w:w="0" w:type="auto"/>
            <w:gridSpan w:val="4"/>
            <w:shd w:val="clear" w:color="auto" w:fill="auto"/>
            <w:vAlign w:val="center"/>
          </w:tcPr>
          <w:p>
            <w:pPr>
              <w:pStyle w:val="Normal(Web)"/>
              <w:divId w:val="100"/>
              <w:jc w:val="center"/>
              <w:rPr>
                <w:vanish w:val="0"/>
              </w:rPr>
            </w:pPr>
            <w:r>
              <w:rPr>
                <w:b/>
              </w:rPr>
              <w:t xml:space="preserve">III</w:t>
            </w:r>
          </w:p>
        </w:tc>
        <w:tc>
          <w:tcPr>
            <w:tcW w:w="0" w:type="auto"/>
            <w:gridSpan w:val="4"/>
            <w:shd w:val="clear" w:color="auto" w:fill="auto"/>
            <w:vAlign w:val="center"/>
          </w:tcPr>
          <w:p>
            <w:pPr>
              <w:pStyle w:val="Normal(Web)"/>
              <w:divId w:val="101"/>
              <w:jc w:val="center"/>
              <w:rPr>
                <w:vanish w:val="0"/>
              </w:rPr>
            </w:pPr>
            <w:r>
              <w:rPr>
                <w:b/>
              </w:rPr>
              <w:t xml:space="preserve">IV</w:t>
            </w:r>
          </w:p>
        </w:tc>
      </w:tr>
      <w:tr>
        <w:trPr>
          <w:jc w:val="left"/>
        </w:trPr>
        <w:tc>
          <w:tcPr>
            <w:tcW w:w="0" w:type="auto"/>
            <w:vMerge w:val="restart"/>
            <w:shd w:val="clear" w:color="auto" w:fill="auto"/>
            <w:vAlign w:val="center"/>
          </w:tcPr>
          <w:p>
            <w:pPr>
              <w:pStyle w:val="Normal(Web)"/>
              <w:divId w:val="102"/>
              <w:jc w:val="center"/>
              <w:rPr>
                <w:vanish w:val="0"/>
              </w:rPr>
            </w:pPr>
            <w:r>
              <w:t xml:space="preserve">I.1.2</w:t>
            </w:r>
          </w:p>
        </w:tc>
        <w:tc>
          <w:tcPr>
            <w:tcW w:w="0" w:type="auto"/>
            <w:vMerge w:val="restart"/>
            <w:shd w:val="clear" w:color="auto" w:fill="auto"/>
            <w:vAlign w:val="center"/>
          </w:tcPr>
          <w:p>
            <w:pPr>
              <w:pStyle w:val="Normal(Web)"/>
              <w:divId w:val="103"/>
              <w:jc w:val="center"/>
              <w:rPr>
                <w:vanish w:val="0"/>
              </w:rPr>
            </w:pPr>
            <w:r>
              <w:t xml:space="preserve">Công </w:t>
            </w:r>
            <w:r>
              <w:t xml:space="preserve">trình</w:t>
            </w:r>
            <w:r>
              <w:t xml:space="preserve"> công cộng</w:t>
            </w:r>
          </w:p>
        </w:tc>
        <w:tc>
          <w:tcPr>
            <w:tcW w:w="0" w:type="auto"/>
            <w:hMerge w:val="restart"/>
            <w:shd w:val="clear" w:color="auto" w:fill="auto"/>
            <w:vAlign w:val="center"/>
          </w:tcPr>
          <w:p>
            <w:pPr>
              <w:pStyle w:val="Normal(Web)"/>
              <w:divId w:val="104"/>
              <w:rPr>
                <w:vanish w:val="0"/>
              </w:rPr>
            </w:pPr>
            <w:r>
              <w:t xml:space="preserve">I.1.2.6. Công trình thông tin, truyền thông</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105"/>
              <w:rPr>
                <w:vanish w:val="0"/>
              </w:rPr>
            </w:pPr>
            <w:r>
              <w:t xml:space="preserve">a) Tháp thu, phát sóng viễn thông, truyền thanh, truyền hình, cột BTS</w:t>
            </w:r>
          </w:p>
        </w:tc>
        <w:tc>
          <w:tcPr>
            <w:tcW w:w="0" w:type="auto"/>
            <w:shd w:val="clear" w:color="auto" w:fill="auto"/>
            <w:vAlign w:val="center"/>
          </w:tcPr>
          <w:p>
            <w:pPr>
              <w:pStyle w:val="Normal(Web)"/>
              <w:divId w:val="106"/>
              <w:jc w:val="center"/>
              <w:rPr>
                <w:vanish w:val="0"/>
              </w:rPr>
            </w:pPr>
            <w:r>
              <w:t xml:space="preserve">Chiều cao (m)</w:t>
            </w:r>
          </w:p>
        </w:tc>
        <w:tc>
          <w:tcPr>
            <w:tcW w:w="0" w:type="auto"/>
            <w:gridSpan w:val="4"/>
            <w:shd w:val="clear" w:color="auto" w:fill="auto"/>
            <w:vAlign w:val="center"/>
          </w:tcPr>
          <w:p>
            <w:pPr>
              <w:pStyle w:val="Normal(Web)"/>
              <w:divId w:val="107"/>
              <w:jc w:val="center"/>
              <w:rPr>
                <w:vanish w:val="0"/>
              </w:rPr>
            </w:pPr>
            <w:r>
              <w:t xml:space="preserve">≥ 200</w:t>
            </w:r>
          </w:p>
        </w:tc>
        <w:tc>
          <w:tcPr>
            <w:tcW w:w="0" w:type="auto"/>
            <w:gridSpan w:val="4"/>
            <w:shd w:val="clear" w:color="auto" w:fill="auto"/>
            <w:vAlign w:val="center"/>
          </w:tcPr>
          <w:p>
            <w:pPr>
              <w:pStyle w:val="Normal(Web)"/>
              <w:divId w:val="108"/>
              <w:jc w:val="center"/>
              <w:rPr>
                <w:vanish w:val="0"/>
              </w:rPr>
            </w:pPr>
            <w:r>
              <w:t xml:space="preserve">100 ÷ &lt;&gt;</w:t>
            </w:r>
          </w:p>
        </w:tc>
        <w:tc>
          <w:tcPr>
            <w:tcW w:w="0" w:type="auto"/>
            <w:gridSpan w:val="4"/>
            <w:shd w:val="clear" w:color="auto" w:fill="auto"/>
            <w:vAlign w:val="center"/>
          </w:tcPr>
          <w:p>
            <w:pPr>
              <w:pStyle w:val="Normal(Web)"/>
              <w:divId w:val="109"/>
              <w:jc w:val="center"/>
              <w:rPr>
                <w:vanish w:val="0"/>
              </w:rPr>
            </w:pPr>
            <w:r>
              <w:t xml:space="preserve">50 ÷ &lt;&gt;</w:t>
            </w:r>
          </w:p>
        </w:tc>
        <w:tc>
          <w:tcPr>
            <w:tcW w:w="0" w:type="auto"/>
            <w:gridSpan w:val="4"/>
            <w:shd w:val="clear" w:color="auto" w:fill="auto"/>
            <w:vAlign w:val="center"/>
          </w:tcPr>
          <w:p>
            <w:pPr>
              <w:pStyle w:val="Normal(Web)"/>
              <w:divId w:val="110"/>
              <w:jc w:val="center"/>
              <w:rPr>
                <w:vanish w:val="0"/>
              </w:rPr>
            </w:pPr>
            <w:r>
              <w:t xml:space="preserve">35 ÷ &lt;&gt;</w:t>
            </w:r>
          </w:p>
        </w:tc>
      </w:tr>
    </w:tbl>
    <w:p>
      <w:pPr>
        <w:pStyle w:val="Normal(Web)"/>
        <w:divId w:val="111"/>
        <w:rPr>
          <w:vanish w:val="0"/>
        </w:rPr>
      </w:pPr>
      <w:r>
        <w:t xml:space="preserve">đ) Sửa đổi khoản II.1.5.1 Nhà máy (trung tâm) nhiệt điện thuộc mục </w:t>
      </w:r>
      <w:r>
        <w:rPr>
          <w:b/>
        </w:rPr>
        <w:t xml:space="preserve">II.1.5 Công trình năng lượng trong Bảng II.1 Phân cấp các loại công trình công nghiệp thuộc dây chuyền công nghệ sản xuất chính</w:t>
      </w:r>
      <w:r>
        <w:t xml:space="preserve">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jc w:val="left"/>
        </w:trPr>
        <w:tc>
          <w:tcPr>
            <w:tcW w:w="0" w:type="auto"/>
            <w:vMerge w:val="restart"/>
            <w:shd w:val="clear" w:color="auto" w:fill="auto"/>
            <w:vAlign w:val="center"/>
          </w:tcPr>
          <w:p>
            <w:pPr>
              <w:pStyle w:val="Normal(Web)"/>
              <w:divId w:val="112"/>
              <w:jc w:val="center"/>
              <w:rPr>
                <w:vanish w:val="0"/>
              </w:rPr>
            </w:pPr>
            <w:r>
              <w:rPr>
                <w:b/>
              </w:rPr>
              <w:t xml:space="preserve">Mã số</w:t>
            </w:r>
          </w:p>
        </w:tc>
        <w:tc>
          <w:tcPr>
            <w:tcW w:w="0" w:type="auto"/>
            <w:hMerge w:val="restart"/>
            <w:vMerge w:val="restart"/>
            <w:shd w:val="clear" w:color="auto" w:fill="auto"/>
            <w:vAlign w:val="center"/>
          </w:tcPr>
          <w:p>
            <w:pPr>
              <w:pStyle w:val="Normal(Web)"/>
              <w:divId w:val="113"/>
              <w:rPr>
                <w:vanish w:val="0"/>
              </w:rPr>
            </w:pPr>
            <w:r>
              <w:rPr>
                <w:b/>
              </w:rPr>
              <w:t xml:space="preserve">Loại công trình</w:t>
            </w:r>
          </w:p>
        </w:tc>
        <w:tc>
          <w:tcPr>
            <w:tcW w:w="0" w:type="auto"/>
            <w:hMerge/>
            <w:shd w:val="clear" w:color="auto" w:fill="auto"/>
            <w:vAlign w:val="center"/>
          </w:tcPr>
          <w:p>
            <w:pPr/>
          </w:p>
        </w:tc>
        <w:tc>
          <w:tcPr>
            <w:tcW w:w="0" w:type="auto"/>
            <w:vMerge w:val="restart"/>
            <w:shd w:val="clear" w:color="auto" w:fill="auto"/>
            <w:vAlign w:val="center"/>
          </w:tcPr>
          <w:p>
            <w:pPr>
              <w:pStyle w:val="Normal(Web)"/>
              <w:divId w:val="114"/>
              <w:jc w:val="center"/>
              <w:rPr>
                <w:vanish w:val="0"/>
              </w:rPr>
            </w:pPr>
            <w:r>
              <w:rPr>
                <w:b/>
              </w:rPr>
              <w:t xml:space="preserve">Tiêu chí phân cấp</w:t>
            </w:r>
          </w:p>
        </w:tc>
        <w:tc>
          <w:tcPr>
            <w:tcW w:w="0" w:type="auto"/>
            <w:gridSpan w:val="4"/>
            <w:hMerge w:val="restart"/>
            <w:shd w:val="clear" w:color="auto" w:fill="auto"/>
            <w:vAlign w:val="center"/>
          </w:tcPr>
          <w:p>
            <w:pPr>
              <w:pStyle w:val="Normal(Web)"/>
              <w:divId w:val="115"/>
              <w:jc w:val="center"/>
              <w:rPr>
                <w:vanish w:val="0"/>
              </w:rPr>
            </w:pPr>
            <w:r>
              <w:rPr>
                <w:b/>
              </w:rPr>
              <w:t xml:space="preserve">Cấp công tr</w:t>
            </w:r>
            <w:r>
              <w:rPr>
                <w:b/>
              </w:rPr>
              <w:t xml:space="preserve">ì</w:t>
            </w:r>
            <w:r>
              <w:rPr>
                <w:b/>
              </w:rPr>
              <w:t xml:space="preserve">nh</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divId w:val="116"/>
              <w:jc w:val="center"/>
              <w:rPr>
                <w:vanish w:val="0"/>
              </w:rPr>
            </w:pPr>
            <w:r>
              <w:rPr>
                <w:b/>
              </w:rPr>
              <w:t xml:space="preserve">Đặc bi</w:t>
            </w:r>
            <w:r>
              <w:rPr>
                <w:b/>
              </w:rPr>
              <w:t xml:space="preserve">ệ</w:t>
            </w:r>
            <w:r>
              <w:rPr>
                <w:b/>
              </w:rPr>
              <w:t xml:space="preserve">t</w:t>
            </w:r>
          </w:p>
        </w:tc>
        <w:tc>
          <w:tcPr>
            <w:tcW w:w="0" w:type="auto"/>
            <w:gridSpan w:val="4"/>
            <w:shd w:val="clear" w:color="auto" w:fill="auto"/>
            <w:vAlign w:val="center"/>
          </w:tcPr>
          <w:p>
            <w:pPr>
              <w:pStyle w:val="Normal(Web)"/>
              <w:divId w:val="117"/>
              <w:jc w:val="center"/>
              <w:rPr>
                <w:vanish w:val="0"/>
              </w:rPr>
            </w:pPr>
            <w:r>
              <w:rPr>
                <w:b/>
              </w:rPr>
              <w:t xml:space="preserve">I</w:t>
            </w:r>
          </w:p>
        </w:tc>
        <w:tc>
          <w:tcPr>
            <w:tcW w:w="0" w:type="auto"/>
            <w:gridSpan w:val="4"/>
            <w:shd w:val="clear" w:color="auto" w:fill="auto"/>
            <w:vAlign w:val="center"/>
          </w:tcPr>
          <w:p>
            <w:pPr>
              <w:pStyle w:val="Normal(Web)"/>
              <w:divId w:val="118"/>
              <w:jc w:val="center"/>
              <w:rPr>
                <w:vanish w:val="0"/>
              </w:rPr>
            </w:pPr>
            <w:r>
              <w:rPr>
                <w:b/>
              </w:rPr>
              <w:t xml:space="preserve">II</w:t>
            </w:r>
          </w:p>
        </w:tc>
        <w:tc>
          <w:tcPr>
            <w:tcW w:w="0" w:type="auto"/>
            <w:gridSpan w:val="4"/>
            <w:shd w:val="clear" w:color="auto" w:fill="auto"/>
            <w:vAlign w:val="center"/>
          </w:tcPr>
          <w:p>
            <w:pPr>
              <w:pStyle w:val="Normal(Web)"/>
              <w:divId w:val="119"/>
              <w:jc w:val="center"/>
              <w:rPr>
                <w:vanish w:val="0"/>
              </w:rPr>
            </w:pPr>
            <w:r>
              <w:rPr>
                <w:b/>
              </w:rPr>
              <w:t xml:space="preserve">III</w:t>
            </w:r>
          </w:p>
        </w:tc>
        <w:tc>
          <w:tcPr>
            <w:tcW w:w="0" w:type="auto"/>
            <w:gridSpan w:val="4"/>
            <w:shd w:val="clear" w:color="auto" w:fill="auto"/>
            <w:vAlign w:val="center"/>
          </w:tcPr>
          <w:p>
            <w:pPr>
              <w:pStyle w:val="Normal(Web)"/>
              <w:divId w:val="120"/>
              <w:jc w:val="center"/>
              <w:rPr>
                <w:vanish w:val="0"/>
              </w:rPr>
            </w:pPr>
            <w:r>
              <w:rPr>
                <w:b/>
              </w:rPr>
              <w:t xml:space="preserve">IV</w:t>
            </w:r>
          </w:p>
        </w:tc>
      </w:tr>
      <w:tr>
        <w:trPr>
          <w:jc w:val="left"/>
        </w:trPr>
        <w:tc>
          <w:tcPr>
            <w:tcW w:w="0" w:type="auto"/>
            <w:shd w:val="clear" w:color="auto" w:fill="auto"/>
            <w:vAlign w:val="center"/>
          </w:tcPr>
          <w:p>
            <w:pPr>
              <w:pStyle w:val="Normal(Web)"/>
              <w:divId w:val="121"/>
              <w:jc w:val="center"/>
              <w:rPr>
                <w:vanish w:val="0"/>
              </w:rPr>
            </w:pPr>
            <w:r>
              <w:t xml:space="preserve">II.1.5</w:t>
            </w:r>
          </w:p>
        </w:tc>
        <w:tc>
          <w:tcPr>
            <w:tcW w:w="0" w:type="auto"/>
            <w:shd w:val="clear" w:color="auto" w:fill="auto"/>
            <w:vAlign w:val="center"/>
          </w:tcPr>
          <w:p>
            <w:pPr>
              <w:pStyle w:val="Normal(Web)"/>
              <w:divId w:val="122"/>
              <w:rPr>
                <w:vanish w:val="0"/>
              </w:rPr>
            </w:pPr>
            <w:r>
              <w:t xml:space="preserve">Công trình năng lượng</w:t>
            </w:r>
          </w:p>
        </w:tc>
        <w:tc>
          <w:tcPr>
            <w:tcW w:w="0" w:type="auto"/>
            <w:shd w:val="clear" w:color="auto" w:fill="auto"/>
            <w:vAlign w:val="center"/>
          </w:tcPr>
          <w:p>
            <w:pPr>
              <w:pStyle w:val="Normal(Web)"/>
              <w:divId w:val="123"/>
              <w:rPr>
                <w:vanish w:val="0"/>
              </w:rPr>
            </w:pPr>
            <w:r>
              <w:t xml:space="preserve">II.1.5.1 Nhà máy nhiệt điện</w:t>
            </w:r>
          </w:p>
        </w:tc>
        <w:tc>
          <w:tcPr>
            <w:tcW w:w="0" w:type="auto"/>
            <w:shd w:val="clear" w:color="auto" w:fill="auto"/>
            <w:vAlign w:val="center"/>
          </w:tcPr>
          <w:p>
            <w:pPr>
              <w:pStyle w:val="Normal(Web)"/>
              <w:divId w:val="124"/>
              <w:jc w:val="center"/>
              <w:rPr>
                <w:vanish w:val="0"/>
              </w:rPr>
            </w:pPr>
            <w:r>
              <w:t xml:space="preserve">Tổng công suất (MW)</w:t>
            </w:r>
          </w:p>
        </w:tc>
        <w:tc>
          <w:tcPr>
            <w:tcW w:w="0" w:type="auto"/>
            <w:gridSpan w:val="4"/>
            <w:shd w:val="clear" w:color="auto" w:fill="auto"/>
            <w:vAlign w:val="center"/>
          </w:tcPr>
          <w:p>
            <w:pPr>
              <w:pStyle w:val="Normal(Web)"/>
              <w:divId w:val="125"/>
              <w:jc w:val="center"/>
              <w:rPr>
                <w:vanish w:val="0"/>
              </w:rPr>
            </w:pPr>
            <w:r>
              <w:t xml:space="preserve">&gt;2000</w:t>
            </w:r>
          </w:p>
        </w:tc>
        <w:tc>
          <w:tcPr>
            <w:tcW w:w="0" w:type="auto"/>
            <w:gridSpan w:val="4"/>
            <w:shd w:val="clear" w:color="auto" w:fill="auto"/>
            <w:vAlign w:val="center"/>
          </w:tcPr>
          <w:p>
            <w:pPr>
              <w:pStyle w:val="Normal(Web)"/>
              <w:divId w:val="126"/>
              <w:jc w:val="center"/>
              <w:rPr>
                <w:vanish w:val="0"/>
              </w:rPr>
            </w:pPr>
            <w:r>
              <w:t xml:space="preserve">600­ ÷ 2000</w:t>
            </w:r>
          </w:p>
        </w:tc>
        <w:tc>
          <w:tcPr>
            <w:tcW w:w="0" w:type="auto"/>
            <w:gridSpan w:val="4"/>
            <w:shd w:val="clear" w:color="auto" w:fill="auto"/>
            <w:vAlign w:val="center"/>
          </w:tcPr>
          <w:p>
            <w:pPr>
              <w:pStyle w:val="Normal(Web)"/>
              <w:divId w:val="127"/>
              <w:jc w:val="center"/>
              <w:rPr>
                <w:vanish w:val="0"/>
              </w:rPr>
            </w:pPr>
            <w:r>
              <w:t xml:space="preserve">50 ÷ &lt;&gt;</w:t>
            </w:r>
          </w:p>
        </w:tc>
        <w:tc>
          <w:tcPr>
            <w:tcW w:w="0" w:type="auto"/>
            <w:gridSpan w:val="4"/>
            <w:shd w:val="clear" w:color="auto" w:fill="auto"/>
            <w:vAlign w:val="center"/>
          </w:tcPr>
          <w:p>
            <w:pPr>
              <w:pStyle w:val="Normal(Web)"/>
              <w:divId w:val="128"/>
              <w:jc w:val="center"/>
              <w:rPr>
                <w:vanish w:val="0"/>
              </w:rPr>
            </w:pPr>
            <w:r>
              <w:t xml:space="preserve">5 ÷ &lt;&gt;</w:t>
            </w:r>
          </w:p>
        </w:tc>
      </w:tr>
    </w:tbl>
    <w:p>
      <w:pPr>
        <w:pStyle w:val="Normal(Web)"/>
        <w:divId w:val="129"/>
        <w:rPr>
          <w:vanish w:val="0"/>
        </w:rPr>
      </w:pPr>
      <w:r>
        <w:t xml:space="preserve">e) Sửa đổi khoản II.1.5.11 Đường dây và trạm biến áp thuộc mục </w:t>
      </w:r>
      <w:r>
        <w:rPr>
          <w:b/>
        </w:rPr>
        <w:t xml:space="preserve">II.1.5 Công trình năng lượng trong Bảng II.1 Phân cấp các loại công trình công nghiệp thuộc dây chuyền công nghệ sản xuất chính</w:t>
      </w:r>
      <w:r>
        <w:t xml:space="preserve">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jc w:val="left"/>
        </w:trPr>
        <w:tc>
          <w:tcPr>
            <w:tcW w:w="0" w:type="auto"/>
            <w:vMerge w:val="restart"/>
            <w:shd w:val="clear" w:color="auto" w:fill="auto"/>
            <w:vAlign w:val="center"/>
          </w:tcPr>
          <w:p>
            <w:pPr>
              <w:pStyle w:val="Normal(Web)"/>
              <w:divId w:val="130"/>
              <w:jc w:val="center"/>
              <w:rPr>
                <w:vanish w:val="0"/>
              </w:rPr>
            </w:pPr>
            <w:r>
              <w:rPr>
                <w:b/>
              </w:rPr>
              <w:t xml:space="preserve">Mã s</w:t>
            </w:r>
            <w:r>
              <w:rPr>
                <w:b/>
              </w:rPr>
              <w:t xml:space="preserve">ố</w:t>
            </w:r>
          </w:p>
        </w:tc>
        <w:tc>
          <w:tcPr>
            <w:tcW w:w="0" w:type="auto"/>
            <w:hMerge w:val="restart"/>
            <w:vMerge w:val="restart"/>
            <w:shd w:val="clear" w:color="auto" w:fill="auto"/>
            <w:vAlign w:val="center"/>
          </w:tcPr>
          <w:p>
            <w:pPr>
              <w:pStyle w:val="Normal(Web)"/>
              <w:divId w:val="131"/>
              <w:jc w:val="center"/>
              <w:rPr>
                <w:vanish w:val="0"/>
              </w:rPr>
            </w:pPr>
            <w:r>
              <w:rPr>
                <w:b/>
              </w:rPr>
              <w:t xml:space="preserve">Loại công trình</w:t>
            </w:r>
          </w:p>
        </w:tc>
        <w:tc>
          <w:tcPr>
            <w:tcW w:w="0" w:type="auto"/>
            <w:hMerge/>
            <w:shd w:val="clear" w:color="auto" w:fill="auto"/>
            <w:vAlign w:val="center"/>
          </w:tcPr>
          <w:p>
            <w:pPr/>
          </w:p>
        </w:tc>
        <w:tc>
          <w:tcPr>
            <w:tcW w:w="0" w:type="auto"/>
            <w:vMerge w:val="restart"/>
            <w:shd w:val="clear" w:color="auto" w:fill="auto"/>
            <w:vAlign w:val="center"/>
          </w:tcPr>
          <w:p>
            <w:pPr>
              <w:pStyle w:val="Normal(Web)"/>
              <w:divId w:val="132"/>
              <w:jc w:val="center"/>
              <w:rPr>
                <w:vanish w:val="0"/>
              </w:rPr>
            </w:pPr>
            <w:r>
              <w:rPr>
                <w:b/>
              </w:rPr>
              <w:t xml:space="preserve">Tiêu chí phân cấp</w:t>
            </w:r>
          </w:p>
        </w:tc>
        <w:tc>
          <w:tcPr>
            <w:tcW w:w="0" w:type="auto"/>
            <w:gridSpan w:val="4"/>
            <w:hMerge w:val="restart"/>
            <w:shd w:val="clear" w:color="auto" w:fill="auto"/>
            <w:vAlign w:val="center"/>
          </w:tcPr>
          <w:p>
            <w:pPr>
              <w:pStyle w:val="Normal(Web)"/>
              <w:divId w:val="133"/>
              <w:jc w:val="center"/>
              <w:rPr>
                <w:vanish w:val="0"/>
              </w:rPr>
            </w:pPr>
            <w:r>
              <w:rPr>
                <w:b/>
              </w:rPr>
              <w:t xml:space="preserve">Cấp công trình</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divId w:val="134"/>
              <w:jc w:val="center"/>
              <w:rPr>
                <w:vanish w:val="0"/>
              </w:rPr>
            </w:pPr>
            <w:r>
              <w:rPr>
                <w:b/>
              </w:rPr>
              <w:t xml:space="preserve">Đặc biệt</w:t>
            </w:r>
          </w:p>
        </w:tc>
        <w:tc>
          <w:tcPr>
            <w:tcW w:w="0" w:type="auto"/>
            <w:gridSpan w:val="4"/>
            <w:shd w:val="clear" w:color="auto" w:fill="auto"/>
            <w:vAlign w:val="center"/>
          </w:tcPr>
          <w:p>
            <w:pPr>
              <w:pStyle w:val="Normal(Web)"/>
              <w:divId w:val="135"/>
              <w:jc w:val="center"/>
              <w:rPr>
                <w:vanish w:val="0"/>
              </w:rPr>
            </w:pPr>
            <w:r>
              <w:rPr>
                <w:b/>
              </w:rPr>
              <w:t xml:space="preserve">I</w:t>
            </w:r>
          </w:p>
        </w:tc>
        <w:tc>
          <w:tcPr>
            <w:tcW w:w="0" w:type="auto"/>
            <w:gridSpan w:val="4"/>
            <w:shd w:val="clear" w:color="auto" w:fill="auto"/>
            <w:vAlign w:val="center"/>
          </w:tcPr>
          <w:p>
            <w:pPr>
              <w:pStyle w:val="Normal(Web)"/>
              <w:divId w:val="136"/>
              <w:jc w:val="center"/>
              <w:rPr>
                <w:vanish w:val="0"/>
              </w:rPr>
            </w:pPr>
            <w:r>
              <w:rPr>
                <w:b/>
              </w:rPr>
              <w:t xml:space="preserve">II</w:t>
            </w:r>
          </w:p>
        </w:tc>
        <w:tc>
          <w:tcPr>
            <w:tcW w:w="0" w:type="auto"/>
            <w:gridSpan w:val="4"/>
            <w:shd w:val="clear" w:color="auto" w:fill="auto"/>
            <w:vAlign w:val="center"/>
          </w:tcPr>
          <w:p>
            <w:pPr>
              <w:pStyle w:val="Normal(Web)"/>
              <w:divId w:val="137"/>
              <w:jc w:val="center"/>
              <w:rPr>
                <w:vanish w:val="0"/>
              </w:rPr>
            </w:pPr>
            <w:r>
              <w:rPr>
                <w:b/>
              </w:rPr>
              <w:t xml:space="preserve">III</w:t>
            </w:r>
          </w:p>
        </w:tc>
        <w:tc>
          <w:tcPr>
            <w:tcW w:w="0" w:type="auto"/>
            <w:gridSpan w:val="4"/>
            <w:shd w:val="clear" w:color="auto" w:fill="auto"/>
            <w:vAlign w:val="center"/>
          </w:tcPr>
          <w:p>
            <w:pPr>
              <w:pStyle w:val="Normal(Web)"/>
              <w:divId w:val="138"/>
              <w:jc w:val="center"/>
              <w:rPr>
                <w:vanish w:val="0"/>
              </w:rPr>
            </w:pPr>
            <w:r>
              <w:rPr>
                <w:b/>
              </w:rPr>
              <w:t xml:space="preserve">IV</w:t>
            </w:r>
          </w:p>
        </w:tc>
      </w:tr>
      <w:tr>
        <w:trPr>
          <w:jc w:val="left"/>
        </w:trPr>
        <w:tc>
          <w:tcPr>
            <w:tcW w:w="0" w:type="auto"/>
            <w:shd w:val="clear" w:color="auto" w:fill="auto"/>
            <w:vAlign w:val="center"/>
          </w:tcPr>
          <w:p>
            <w:pPr>
              <w:pStyle w:val="Normal(Web)"/>
              <w:divId w:val="139"/>
              <w:jc w:val="center"/>
              <w:rPr>
                <w:vanish w:val="0"/>
              </w:rPr>
            </w:pPr>
            <w:r>
              <w:t xml:space="preserve">II.1.5</w:t>
            </w:r>
          </w:p>
        </w:tc>
        <w:tc>
          <w:tcPr>
            <w:tcW w:w="0" w:type="auto"/>
            <w:shd w:val="clear" w:color="auto" w:fill="auto"/>
            <w:vAlign w:val="center"/>
          </w:tcPr>
          <w:p>
            <w:pPr>
              <w:pStyle w:val="Normal(Web)"/>
              <w:divId w:val="140"/>
              <w:rPr>
                <w:vanish w:val="0"/>
              </w:rPr>
            </w:pPr>
            <w:r>
              <w:t xml:space="preserve">Công trình năng lượng</w:t>
            </w:r>
          </w:p>
        </w:tc>
        <w:tc>
          <w:tcPr>
            <w:tcW w:w="0" w:type="auto"/>
            <w:shd w:val="clear" w:color="auto" w:fill="auto"/>
            <w:vAlign w:val="center"/>
          </w:tcPr>
          <w:p>
            <w:pPr>
              <w:pStyle w:val="Normal(Web)"/>
              <w:divId w:val="141"/>
              <w:rPr>
                <w:vanish w:val="0"/>
              </w:rPr>
            </w:pPr>
            <w:r>
              <w:t xml:space="preserve">II.1.5.11 Đường dây và trạm biến áp</w:t>
            </w:r>
          </w:p>
        </w:tc>
        <w:tc>
          <w:tcPr>
            <w:tcW w:w="0" w:type="auto"/>
            <w:shd w:val="clear" w:color="auto" w:fill="auto"/>
            <w:vAlign w:val="center"/>
          </w:tcPr>
          <w:p>
            <w:pPr>
              <w:pStyle w:val="Normal(Web)"/>
              <w:divId w:val="142"/>
              <w:jc w:val="center"/>
              <w:rPr>
                <w:vanish w:val="0"/>
              </w:rPr>
            </w:pPr>
            <w:r>
              <w:t xml:space="preserve">Điện áp (kV)</w:t>
            </w:r>
          </w:p>
        </w:tc>
        <w:tc>
          <w:tcPr>
            <w:tcW w:w="0" w:type="auto"/>
            <w:gridSpan w:val="4"/>
            <w:shd w:val="clear" w:color="auto" w:fill="auto"/>
            <w:vAlign w:val="center"/>
          </w:tcPr>
          <w:p>
            <w:pPr>
              <w:pStyle w:val="Normal(Web)"/>
              <w:divId w:val="143"/>
              <w:jc w:val="center"/>
              <w:rPr>
                <w:vanish w:val="0"/>
              </w:rPr>
            </w:pPr>
            <w:r>
              <w:t xml:space="preserve">≥500</w:t>
            </w:r>
          </w:p>
        </w:tc>
        <w:tc>
          <w:tcPr>
            <w:tcW w:w="0" w:type="auto"/>
            <w:gridSpan w:val="4"/>
            <w:shd w:val="clear" w:color="auto" w:fill="auto"/>
            <w:vAlign w:val="center"/>
          </w:tcPr>
          <w:p>
            <w:pPr>
              <w:pStyle w:val="Normal(Web)"/>
              <w:divId w:val="144"/>
              <w:jc w:val="center"/>
              <w:rPr>
                <w:vanish w:val="0"/>
              </w:rPr>
            </w:pPr>
            <w:r>
              <w:t xml:space="preserve">220</w:t>
            </w:r>
          </w:p>
        </w:tc>
        <w:tc>
          <w:tcPr>
            <w:tcW w:w="0" w:type="auto"/>
            <w:gridSpan w:val="4"/>
            <w:shd w:val="clear" w:color="auto" w:fill="auto"/>
            <w:vAlign w:val="center"/>
          </w:tcPr>
          <w:p>
            <w:pPr>
              <w:pStyle w:val="Normal(Web)"/>
              <w:divId w:val="145"/>
              <w:jc w:val="center"/>
              <w:rPr>
                <w:vanish w:val="0"/>
              </w:rPr>
            </w:pPr>
            <w:r>
              <w:t xml:space="preserve">110</w:t>
            </w:r>
          </w:p>
        </w:tc>
        <w:tc>
          <w:tcPr>
            <w:tcW w:w="0" w:type="auto"/>
            <w:gridSpan w:val="4"/>
            <w:shd w:val="clear" w:color="auto" w:fill="auto"/>
            <w:vAlign w:val="center"/>
          </w:tcPr>
          <w:p>
            <w:pPr>
              <w:pStyle w:val="Normal(Web)"/>
              <w:divId w:val="146"/>
              <w:jc w:val="center"/>
              <w:rPr>
                <w:vanish w:val="0"/>
              </w:rPr>
            </w:pPr>
            <w:r>
              <w:t xml:space="preserve">-</w:t>
            </w:r>
          </w:p>
        </w:tc>
      </w:tr>
    </w:tbl>
    <w:p>
      <w:pPr>
        <w:pStyle w:val="Normal(Web)"/>
        <w:divId w:val="147"/>
        <w:rPr>
          <w:vanish w:val="0"/>
        </w:rPr>
      </w:pPr>
      <w:r>
        <w:t xml:space="preserve">g) Sửa đổi khoản III.1.3.1 Chất thải rắn đô thị mục III.1.3 Xử lý rác thải Bảng III.1 Phân cấp các loại công trình hạ tầng kỹ thuật,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tblGrid>
      <w:tr>
        <w:trPr>
          <w:jc w:val="left"/>
        </w:trPr>
        <w:tc>
          <w:tcPr>
            <w:tcW w:w="0" w:type="auto"/>
            <w:vMerge w:val="restart"/>
            <w:shd w:val="clear" w:color="auto" w:fill="auto"/>
            <w:vAlign w:val="center"/>
          </w:tcPr>
          <w:p>
            <w:pPr>
              <w:pStyle w:val="Normal(Web)"/>
              <w:divId w:val="148"/>
              <w:jc w:val="center"/>
              <w:rPr>
                <w:vanish w:val="0"/>
              </w:rPr>
            </w:pPr>
            <w:r>
              <w:rPr>
                <w:b/>
              </w:rPr>
              <w:t xml:space="preserve">Mã số</w:t>
            </w:r>
          </w:p>
        </w:tc>
        <w:tc>
          <w:tcPr>
            <w:tcW w:w="0" w:type="auto"/>
            <w:hMerge w:val="restart"/>
            <w:vMerge w:val="restart"/>
            <w:shd w:val="clear" w:color="auto" w:fill="auto"/>
            <w:vAlign w:val="center"/>
          </w:tcPr>
          <w:p>
            <w:pPr>
              <w:pStyle w:val="Normal(Web)"/>
              <w:divId w:val="149"/>
              <w:jc w:val="center"/>
              <w:rPr>
                <w:vanish w:val="0"/>
              </w:rPr>
            </w:pPr>
            <w:r>
              <w:rPr>
                <w:b/>
              </w:rPr>
              <w:t xml:space="preserve">Loại công trình</w:t>
            </w: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divId w:val="150"/>
              <w:jc w:val="center"/>
              <w:rPr>
                <w:vanish w:val="0"/>
              </w:rPr>
            </w:pPr>
            <w:r>
              <w:rPr>
                <w:b/>
              </w:rPr>
              <w:t xml:space="preserve">Tiêu chí phân cấp</w:t>
            </w:r>
          </w:p>
        </w:tc>
        <w:tc>
          <w:tcPr>
            <w:tcW w:w="0" w:type="auto"/>
            <w:hMerge/>
            <w:shd w:val="clear" w:color="auto" w:fill="auto"/>
            <w:vAlign w:val="center"/>
          </w:tcPr>
          <w:p>
            <w:pPr/>
          </w:p>
        </w:tc>
        <w:tc>
          <w:tcPr>
            <w:tcW w:w="0" w:type="auto"/>
            <w:gridSpan w:val="5"/>
            <w:hMerge w:val="restart"/>
            <w:shd w:val="clear" w:color="auto" w:fill="auto"/>
            <w:vAlign w:val="center"/>
          </w:tcPr>
          <w:p>
            <w:pPr>
              <w:pStyle w:val="Normal(Web)"/>
              <w:divId w:val="151"/>
              <w:jc w:val="center"/>
              <w:rPr>
                <w:vanish w:val="0"/>
              </w:rPr>
            </w:pPr>
            <w:r>
              <w:rPr>
                <w:b/>
              </w:rPr>
              <w:t xml:space="preserve">Cấp công trình</w:t>
            </w: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gridSpan w:val="5"/>
            <w:shd w:val="clear" w:color="auto" w:fill="auto"/>
            <w:vAlign w:val="center"/>
          </w:tcPr>
          <w:p>
            <w:pPr>
              <w:pStyle w:val="Normal(Web)"/>
              <w:divId w:val="152"/>
              <w:jc w:val="center"/>
              <w:rPr>
                <w:vanish w:val="0"/>
              </w:rPr>
            </w:pPr>
            <w:r>
              <w:rPr>
                <w:b/>
              </w:rPr>
              <w:t xml:space="preserve">Đặc biệt</w:t>
            </w:r>
          </w:p>
        </w:tc>
        <w:tc>
          <w:tcPr>
            <w:tcW w:w="0" w:type="auto"/>
            <w:gridSpan w:val="5"/>
            <w:shd w:val="clear" w:color="auto" w:fill="auto"/>
            <w:vAlign w:val="center"/>
          </w:tcPr>
          <w:p>
            <w:pPr>
              <w:pStyle w:val="Normal(Web)"/>
              <w:divId w:val="153"/>
              <w:jc w:val="center"/>
              <w:rPr>
                <w:vanish w:val="0"/>
              </w:rPr>
            </w:pPr>
            <w:r>
              <w:rPr>
                <w:b/>
              </w:rPr>
              <w:t xml:space="preserve">I</w:t>
            </w:r>
          </w:p>
        </w:tc>
        <w:tc>
          <w:tcPr>
            <w:tcW w:w="0" w:type="auto"/>
            <w:gridSpan w:val="5"/>
            <w:shd w:val="clear" w:color="auto" w:fill="auto"/>
            <w:vAlign w:val="center"/>
          </w:tcPr>
          <w:p>
            <w:pPr>
              <w:pStyle w:val="Normal(Web)"/>
              <w:divId w:val="154"/>
              <w:jc w:val="center"/>
              <w:rPr>
                <w:vanish w:val="0"/>
              </w:rPr>
            </w:pPr>
            <w:r>
              <w:rPr>
                <w:b/>
              </w:rPr>
              <w:t xml:space="preserve">II</w:t>
            </w:r>
          </w:p>
        </w:tc>
        <w:tc>
          <w:tcPr>
            <w:tcW w:w="0" w:type="auto"/>
            <w:gridSpan w:val="5"/>
            <w:shd w:val="clear" w:color="auto" w:fill="auto"/>
            <w:vAlign w:val="center"/>
          </w:tcPr>
          <w:p>
            <w:pPr>
              <w:pStyle w:val="Normal(Web)"/>
              <w:divId w:val="155"/>
              <w:jc w:val="center"/>
              <w:rPr>
                <w:vanish w:val="0"/>
              </w:rPr>
            </w:pPr>
            <w:r>
              <w:rPr>
                <w:b/>
              </w:rPr>
              <w:t xml:space="preserve">III</w:t>
            </w:r>
          </w:p>
        </w:tc>
        <w:tc>
          <w:tcPr>
            <w:tcW w:w="0" w:type="auto"/>
            <w:gridSpan w:val="5"/>
            <w:shd w:val="clear" w:color="auto" w:fill="auto"/>
            <w:vAlign w:val="center"/>
          </w:tcPr>
          <w:p>
            <w:pPr>
              <w:pStyle w:val="Normal(Web)"/>
              <w:divId w:val="156"/>
              <w:jc w:val="center"/>
              <w:rPr>
                <w:vanish w:val="0"/>
              </w:rPr>
            </w:pPr>
            <w:r>
              <w:rPr>
                <w:b/>
              </w:rPr>
              <w:t xml:space="preserve">IV</w:t>
            </w:r>
          </w:p>
        </w:tc>
      </w:tr>
      <w:tr>
        <w:trPr>
          <w:jc w:val="left"/>
        </w:trPr>
        <w:tc>
          <w:tcPr>
            <w:tcW w:w="0" w:type="auto"/>
            <w:vMerge w:val="restart"/>
            <w:shd w:val="clear" w:color="auto" w:fill="auto"/>
            <w:vAlign w:val="center"/>
          </w:tcPr>
          <w:p>
            <w:pPr>
              <w:pStyle w:val="Normal(Web)"/>
              <w:divId w:val="157"/>
              <w:jc w:val="center"/>
              <w:rPr>
                <w:vanish w:val="0"/>
              </w:rPr>
            </w:pPr>
            <w:r>
              <w:t xml:space="preserve">III.1.3</w:t>
            </w:r>
          </w:p>
        </w:tc>
        <w:tc>
          <w:tcPr>
            <w:tcW w:w="0" w:type="auto"/>
            <w:vMerge w:val="restart"/>
            <w:shd w:val="clear" w:color="auto" w:fill="auto"/>
            <w:vAlign w:val="center"/>
          </w:tcPr>
          <w:p>
            <w:pPr>
              <w:pStyle w:val="Normal(Web)"/>
              <w:divId w:val="158"/>
              <w:rPr>
                <w:vanish w:val="0"/>
              </w:rPr>
            </w:pPr>
            <w:r>
              <w:t xml:space="preserve">Xử lý </w:t>
            </w:r>
            <w:r>
              <w:t xml:space="preserve">chất</w:t>
            </w:r>
            <w:r>
              <w:t xml:space="preserve"> thải rắn</w:t>
            </w:r>
          </w:p>
        </w:tc>
        <w:tc>
          <w:tcPr>
            <w:tcW w:w="0" w:type="auto"/>
            <w:hMerge w:val="restart"/>
            <w:shd w:val="clear" w:color="auto" w:fill="auto"/>
            <w:vAlign w:val="center"/>
          </w:tcPr>
          <w:p>
            <w:pPr>
              <w:pStyle w:val="Normal(Web)"/>
              <w:divId w:val="159"/>
              <w:rPr>
                <w:vanish w:val="0"/>
              </w:rPr>
            </w:pPr>
            <w:r>
              <w:t xml:space="preserve">III.1.3.1 </w:t>
            </w:r>
            <w:r>
              <w:t xml:space="preserve">Chất</w:t>
            </w:r>
            <w:r>
              <w:t xml:space="preserve"> thải rắn đô thị</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divId w:val="160"/>
              <w:rPr>
                <w:vanish w:val="0"/>
              </w:rPr>
            </w:pPr>
            <w:r>
              <w:t xml:space="preserve">a) Trạm trung chuyển</w:t>
            </w:r>
          </w:p>
        </w:tc>
        <w:tc>
          <w:tcPr>
            <w:tcW w:w="0" w:type="auto"/>
            <w:hMerge/>
            <w:shd w:val="clear" w:color="auto" w:fill="auto"/>
            <w:vAlign w:val="center"/>
          </w:tcPr>
          <w:p>
            <w:pPr/>
          </w:p>
        </w:tc>
        <w:tc>
          <w:tcPr>
            <w:tcW w:w="0" w:type="auto"/>
            <w:shd w:val="clear" w:color="auto" w:fill="auto"/>
            <w:vAlign w:val="center"/>
          </w:tcPr>
          <w:p>
            <w:pPr>
              <w:pStyle w:val="Normal(Web)"/>
              <w:divId w:val="161"/>
              <w:jc w:val="center"/>
              <w:rPr>
                <w:vanish w:val="0"/>
              </w:rPr>
            </w:pPr>
            <w:r>
              <w:t xml:space="preserve">tấn/ngày đêm</w:t>
            </w:r>
          </w:p>
        </w:tc>
        <w:tc>
          <w:tcPr>
            <w:tcW w:w="0" w:type="auto"/>
            <w:gridSpan w:val="5"/>
            <w:shd w:val="clear" w:color="auto" w:fill="auto"/>
            <w:vAlign w:val="center"/>
          </w:tcPr>
          <w:p>
            <w:pPr>
              <w:pStyle w:val="Normal(Web)"/>
              <w:divId w:val="162"/>
              <w:jc w:val="center"/>
              <w:rPr>
                <w:vanish w:val="0"/>
              </w:rPr>
            </w:pPr>
            <w:r>
              <w:t xml:space="preserve">-</w:t>
            </w:r>
          </w:p>
        </w:tc>
        <w:tc>
          <w:tcPr>
            <w:tcW w:w="0" w:type="auto"/>
            <w:gridSpan w:val="5"/>
            <w:shd w:val="clear" w:color="auto" w:fill="auto"/>
            <w:vAlign w:val="center"/>
          </w:tcPr>
          <w:p>
            <w:pPr>
              <w:pStyle w:val="Normal(Web)"/>
              <w:divId w:val="163"/>
              <w:jc w:val="center"/>
              <w:rPr>
                <w:vanish w:val="0"/>
              </w:rPr>
            </w:pPr>
            <w:r>
              <w:t xml:space="preserve">&gt; 100</w:t>
            </w:r>
          </w:p>
        </w:tc>
        <w:tc>
          <w:tcPr>
            <w:tcW w:w="0" w:type="auto"/>
            <w:gridSpan w:val="5"/>
            <w:shd w:val="clear" w:color="auto" w:fill="auto"/>
            <w:vAlign w:val="center"/>
          </w:tcPr>
          <w:p>
            <w:pPr>
              <w:pStyle w:val="Normal(Web)"/>
              <w:divId w:val="164"/>
              <w:jc w:val="center"/>
              <w:rPr>
                <w:vanish w:val="0"/>
              </w:rPr>
            </w:pPr>
            <w:r>
              <w:t xml:space="preserve">&gt; 50 ÷ 100</w:t>
            </w:r>
          </w:p>
        </w:tc>
        <w:tc>
          <w:tcPr>
            <w:tcW w:w="0" w:type="auto"/>
            <w:gridSpan w:val="5"/>
            <w:shd w:val="clear" w:color="auto" w:fill="auto"/>
            <w:vAlign w:val="center"/>
          </w:tcPr>
          <w:p>
            <w:pPr>
              <w:pStyle w:val="Normal(Web)"/>
              <w:divId w:val="165"/>
              <w:jc w:val="center"/>
              <w:rPr>
                <w:vanish w:val="0"/>
              </w:rPr>
            </w:pPr>
            <w:r>
              <w:t xml:space="preserve">&gt; 5 ÷ 50</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divId w:val="166"/>
              <w:rPr>
                <w:vanish w:val="0"/>
              </w:rPr>
            </w:pPr>
            <w:r>
              <w:t xml:space="preserve">b) Bãi chôn lấp chất thải rắn</w:t>
            </w:r>
          </w:p>
        </w:tc>
        <w:tc>
          <w:tcPr>
            <w:tcW w:w="0" w:type="auto"/>
            <w:hMerge/>
            <w:shd w:val="clear" w:color="auto" w:fill="auto"/>
            <w:vAlign w:val="center"/>
          </w:tcPr>
          <w:p>
            <w:pPr/>
          </w:p>
        </w:tc>
        <w:tc>
          <w:tcPr>
            <w:tcW w:w="0" w:type="auto"/>
            <w:shd w:val="clear" w:color="auto" w:fill="auto"/>
            <w:vAlign w:val="center"/>
          </w:tcPr>
          <w:p>
            <w:pPr>
              <w:pStyle w:val="Normal(Web)"/>
              <w:divId w:val="167"/>
              <w:jc w:val="center"/>
              <w:rPr>
                <w:vanish w:val="0"/>
              </w:rPr>
            </w:pPr>
            <w:r>
              <w:t xml:space="preserve">ha</w:t>
            </w:r>
          </w:p>
        </w:tc>
        <w:tc>
          <w:tcPr>
            <w:tcW w:w="0" w:type="auto"/>
            <w:gridSpan w:val="5"/>
            <w:shd w:val="clear" w:color="auto" w:fill="auto"/>
            <w:vAlign w:val="center"/>
          </w:tcPr>
          <w:p>
            <w:pPr>
              <w:pStyle w:val="Normal(Web)"/>
              <w:divId w:val="168"/>
              <w:jc w:val="center"/>
              <w:rPr>
                <w:vanish w:val="0"/>
              </w:rPr>
            </w:pPr>
            <w:r>
              <w:t xml:space="preserve">-</w:t>
            </w:r>
          </w:p>
        </w:tc>
        <w:tc>
          <w:tcPr>
            <w:tcW w:w="0" w:type="auto"/>
            <w:gridSpan w:val="5"/>
            <w:shd w:val="clear" w:color="auto" w:fill="auto"/>
            <w:vAlign w:val="center"/>
          </w:tcPr>
          <w:p>
            <w:pPr>
              <w:pStyle w:val="Normal(Web)"/>
              <w:divId w:val="169"/>
              <w:jc w:val="center"/>
              <w:rPr>
                <w:vanish w:val="0"/>
              </w:rPr>
            </w:pPr>
            <w:r>
              <w:t xml:space="preserve">≥ 50</w:t>
            </w:r>
          </w:p>
        </w:tc>
        <w:tc>
          <w:tcPr>
            <w:tcW w:w="0" w:type="auto"/>
            <w:gridSpan w:val="5"/>
            <w:shd w:val="clear" w:color="auto" w:fill="auto"/>
            <w:vAlign w:val="center"/>
          </w:tcPr>
          <w:p>
            <w:pPr>
              <w:pStyle w:val="Normal(Web)"/>
              <w:divId w:val="170"/>
              <w:jc w:val="center"/>
              <w:rPr>
                <w:vanish w:val="0"/>
              </w:rPr>
            </w:pPr>
            <w:r>
              <w:t xml:space="preserve">30 ÷ &lt;&gt;</w:t>
            </w:r>
          </w:p>
        </w:tc>
        <w:tc>
          <w:tcPr>
            <w:tcW w:w="0" w:type="auto"/>
            <w:gridSpan w:val="5"/>
            <w:shd w:val="clear" w:color="auto" w:fill="auto"/>
            <w:vAlign w:val="center"/>
          </w:tcPr>
          <w:p>
            <w:pPr>
              <w:pStyle w:val="Normal(Web)"/>
              <w:divId w:val="171"/>
              <w:jc w:val="center"/>
              <w:rPr>
                <w:vanish w:val="0"/>
              </w:rPr>
            </w:pPr>
            <w:r>
              <w:t xml:space="preserve">10 ÷ &lt;&gt;</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divId w:val="172"/>
              <w:rPr>
                <w:vanish w:val="0"/>
              </w:rPr>
            </w:pPr>
            <w:r>
              <w:t xml:space="preserve">c) Nhà máy đốt, xử lý chế biến chất thải rắn</w:t>
            </w:r>
          </w:p>
        </w:tc>
        <w:tc>
          <w:tcPr>
            <w:tcW w:w="0" w:type="auto"/>
            <w:hMerge/>
            <w:shd w:val="clear" w:color="auto" w:fill="auto"/>
            <w:vAlign w:val="center"/>
          </w:tcPr>
          <w:p>
            <w:pPr/>
          </w:p>
        </w:tc>
        <w:tc>
          <w:tcPr>
            <w:tcW w:w="0" w:type="auto"/>
            <w:shd w:val="clear" w:color="auto" w:fill="auto"/>
            <w:vAlign w:val="center"/>
          </w:tcPr>
          <w:p>
            <w:pPr>
              <w:pStyle w:val="Normal(Web)"/>
              <w:divId w:val="173"/>
              <w:jc w:val="center"/>
              <w:rPr>
                <w:vanish w:val="0"/>
              </w:rPr>
            </w:pPr>
            <w:r>
              <w:t xml:space="preserve">tấn/ngày đêm</w:t>
            </w:r>
          </w:p>
        </w:tc>
        <w:tc>
          <w:tcPr>
            <w:tcW w:w="0" w:type="auto"/>
            <w:gridSpan w:val="5"/>
            <w:shd w:val="clear" w:color="auto" w:fill="auto"/>
            <w:vAlign w:val="center"/>
          </w:tcPr>
          <w:p>
            <w:pPr>
              <w:pStyle w:val="Normal(Web)"/>
              <w:divId w:val="174"/>
              <w:jc w:val="center"/>
              <w:rPr>
                <w:vanish w:val="0"/>
              </w:rPr>
            </w:pPr>
            <w:r>
              <w:t xml:space="preserve">-</w:t>
            </w:r>
          </w:p>
        </w:tc>
        <w:tc>
          <w:tcPr>
            <w:tcW w:w="0" w:type="auto"/>
            <w:gridSpan w:val="5"/>
            <w:shd w:val="clear" w:color="auto" w:fill="auto"/>
            <w:vAlign w:val="center"/>
          </w:tcPr>
          <w:p>
            <w:pPr>
              <w:pStyle w:val="Normal(Web)"/>
              <w:divId w:val="175"/>
              <w:jc w:val="center"/>
              <w:rPr>
                <w:vanish w:val="0"/>
              </w:rPr>
            </w:pPr>
            <w:r>
              <w:t xml:space="preserve">≥500</w:t>
            </w:r>
          </w:p>
        </w:tc>
        <w:tc>
          <w:tcPr>
            <w:tcW w:w="0" w:type="auto"/>
            <w:gridSpan w:val="5"/>
            <w:shd w:val="clear" w:color="auto" w:fill="auto"/>
            <w:vAlign w:val="center"/>
          </w:tcPr>
          <w:p>
            <w:pPr>
              <w:pStyle w:val="Normal(Web)"/>
              <w:divId w:val="176"/>
              <w:jc w:val="center"/>
              <w:rPr>
                <w:vanish w:val="0"/>
              </w:rPr>
            </w:pPr>
            <w:r>
              <w:t xml:space="preserve">100 ÷ &lt;&gt;</w:t>
            </w:r>
          </w:p>
        </w:tc>
        <w:tc>
          <w:tcPr>
            <w:tcW w:w="0" w:type="auto"/>
            <w:gridSpan w:val="5"/>
            <w:shd w:val="clear" w:color="auto" w:fill="auto"/>
            <w:vAlign w:val="center"/>
          </w:tcPr>
          <w:p>
            <w:pPr>
              <w:pStyle w:val="Normal(Web)"/>
              <w:divId w:val="177"/>
              <w:jc w:val="center"/>
              <w:rPr>
                <w:vanish w:val="0"/>
              </w:rPr>
            </w:pPr>
            <w:r>
              <w:t xml:space="preserve">1 ÷ &lt;&gt;</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divId w:val="178"/>
              <w:rPr>
                <w:vanish w:val="0"/>
              </w:rPr>
            </w:pPr>
            <w:r>
              <w:t xml:space="preserve">d) Khu xử lý chất thải rắn</w:t>
            </w:r>
          </w:p>
        </w:tc>
        <w:tc>
          <w:tcPr>
            <w:tcW w:w="0" w:type="auto"/>
            <w:hMerge/>
            <w:shd w:val="clear" w:color="auto" w:fill="auto"/>
            <w:vAlign w:val="center"/>
          </w:tcPr>
          <w:p>
            <w:pPr/>
          </w:p>
        </w:tc>
        <w:tc>
          <w:tcPr>
            <w:tcW w:w="0" w:type="auto"/>
            <w:shd w:val="clear" w:color="auto" w:fill="auto"/>
            <w:vAlign w:val="center"/>
          </w:tcPr>
          <w:p>
            <w:pPr>
              <w:pStyle w:val="Normal(Web)"/>
              <w:divId w:val="179"/>
              <w:jc w:val="center"/>
              <w:rPr>
                <w:vanish w:val="0"/>
              </w:rPr>
            </w:pPr>
            <w:r>
              <w:t xml:space="preserve">ha</w:t>
            </w:r>
          </w:p>
        </w:tc>
        <w:tc>
          <w:tcPr>
            <w:tcW w:w="0" w:type="auto"/>
            <w:gridSpan w:val="5"/>
            <w:shd w:val="clear" w:color="auto" w:fill="auto"/>
            <w:vAlign w:val="center"/>
          </w:tcPr>
          <w:p>
            <w:pPr>
              <w:pStyle w:val="Normal(Web)"/>
              <w:divId w:val="180"/>
              <w:jc w:val="center"/>
              <w:rPr>
                <w:vanish w:val="0"/>
              </w:rPr>
            </w:pPr>
            <w:r>
              <w:t xml:space="preserve">≥150</w:t>
            </w:r>
          </w:p>
        </w:tc>
        <w:tc>
          <w:tcPr>
            <w:tcW w:w="0" w:type="auto"/>
            <w:gridSpan w:val="5"/>
            <w:shd w:val="clear" w:color="auto" w:fill="auto"/>
            <w:vAlign w:val="center"/>
          </w:tcPr>
          <w:p>
            <w:pPr>
              <w:pStyle w:val="Normal(Web)"/>
              <w:divId w:val="181"/>
              <w:jc w:val="center"/>
              <w:rPr>
                <w:vanish w:val="0"/>
              </w:rPr>
            </w:pPr>
            <w:r>
              <w:t xml:space="preserve">50 ÷ &lt;&gt;</w:t>
            </w:r>
          </w:p>
        </w:tc>
        <w:tc>
          <w:tcPr>
            <w:tcW w:w="0" w:type="auto"/>
            <w:gridSpan w:val="5"/>
            <w:shd w:val="clear" w:color="auto" w:fill="auto"/>
            <w:vAlign w:val="center"/>
          </w:tcPr>
          <w:p>
            <w:pPr>
              <w:pStyle w:val="Normal(Web)"/>
              <w:divId w:val="182"/>
              <w:jc w:val="center"/>
              <w:rPr>
                <w:vanish w:val="0"/>
              </w:rPr>
            </w:pPr>
            <w:r>
              <w:t xml:space="preserve">-</w:t>
            </w:r>
          </w:p>
        </w:tc>
        <w:tc>
          <w:tcPr>
            <w:tcW w:w="0" w:type="auto"/>
            <w:gridSpan w:val="5"/>
            <w:shd w:val="clear" w:color="auto" w:fill="auto"/>
            <w:vAlign w:val="center"/>
          </w:tcPr>
          <w:p>
            <w:pPr>
              <w:pStyle w:val="Normal(Web)"/>
              <w:divId w:val="183"/>
              <w:jc w:val="center"/>
              <w:rPr>
                <w:vanish w:val="0"/>
              </w:rPr>
            </w:pPr>
            <w:r>
              <w:t xml:space="preserve">-</w:t>
            </w:r>
          </w:p>
        </w:tc>
      </w:tr>
    </w:tbl>
    <w:p>
      <w:pPr>
        <w:pStyle w:val="Normal(Web)"/>
        <w:divId w:val="184"/>
        <w:rPr>
          <w:vanish w:val="0"/>
        </w:rPr>
      </w:pPr>
      <w:r>
        <w:t xml:space="preserve">h) Sửa đổi khoản III.1.4.3 Nghĩa trang mục III.1.4 Công trình khác Bảng III.1 Phân cấp các loại công trình hạ tầng kỹ thuật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jc w:val="left"/>
        </w:trPr>
        <w:tc>
          <w:tcPr>
            <w:tcW w:w="0" w:type="auto"/>
            <w:vMerge w:val="restart"/>
            <w:shd w:val="clear" w:color="auto" w:fill="auto"/>
            <w:vAlign w:val="center"/>
          </w:tcPr>
          <w:p>
            <w:pPr>
              <w:pStyle w:val="Normal(Web)"/>
              <w:divId w:val="185"/>
              <w:jc w:val="center"/>
              <w:rPr>
                <w:vanish w:val="0"/>
              </w:rPr>
            </w:pPr>
            <w:r>
              <w:rPr>
                <w:b/>
              </w:rPr>
              <w:t xml:space="preserve">Mã </w:t>
            </w:r>
            <w:r>
              <w:rPr>
                <w:b/>
              </w:rPr>
              <w:t xml:space="preserve">số</w:t>
            </w:r>
          </w:p>
        </w:tc>
        <w:tc>
          <w:tcPr>
            <w:tcW w:w="0" w:type="auto"/>
            <w:hMerge w:val="restart"/>
            <w:vMerge w:val="restart"/>
            <w:shd w:val="clear" w:color="auto" w:fill="auto"/>
            <w:vAlign w:val="center"/>
          </w:tcPr>
          <w:p>
            <w:pPr>
              <w:pStyle w:val="Normal(Web)"/>
              <w:divId w:val="186"/>
              <w:jc w:val="center"/>
              <w:rPr>
                <w:vanish w:val="0"/>
              </w:rPr>
            </w:pPr>
            <w:r>
              <w:rPr>
                <w:b/>
              </w:rPr>
              <w:t xml:space="preserve">Loại công trình</w:t>
            </w:r>
          </w:p>
        </w:tc>
        <w:tc>
          <w:tcPr>
            <w:tcW w:w="0" w:type="auto"/>
            <w:hMerge/>
            <w:shd w:val="clear" w:color="auto" w:fill="auto"/>
            <w:vAlign w:val="center"/>
          </w:tcPr>
          <w:p>
            <w:pPr/>
          </w:p>
        </w:tc>
        <w:tc>
          <w:tcPr>
            <w:tcW w:w="0" w:type="auto"/>
            <w:vMerge w:val="restart"/>
            <w:shd w:val="clear" w:color="auto" w:fill="auto"/>
            <w:vAlign w:val="center"/>
          </w:tcPr>
          <w:p>
            <w:pPr>
              <w:pStyle w:val="Normal(Web)"/>
              <w:divId w:val="187"/>
              <w:jc w:val="center"/>
              <w:rPr>
                <w:vanish w:val="0"/>
              </w:rPr>
            </w:pPr>
            <w:r>
              <w:rPr>
                <w:b/>
              </w:rPr>
              <w:t xml:space="preserve">Tiêu chí phân cấp</w:t>
            </w:r>
          </w:p>
        </w:tc>
        <w:tc>
          <w:tcPr>
            <w:tcW w:w="0" w:type="auto"/>
            <w:gridSpan w:val="4"/>
            <w:hMerge w:val="restart"/>
            <w:shd w:val="clear" w:color="auto" w:fill="auto"/>
            <w:vAlign w:val="center"/>
          </w:tcPr>
          <w:p>
            <w:pPr>
              <w:pStyle w:val="Normal(Web)"/>
              <w:divId w:val="188"/>
              <w:jc w:val="center"/>
              <w:rPr>
                <w:vanish w:val="0"/>
              </w:rPr>
            </w:pPr>
            <w:r>
              <w:rPr>
                <w:b/>
              </w:rPr>
              <w:t xml:space="preserve">Cấp công trình</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divId w:val="189"/>
              <w:jc w:val="center"/>
              <w:rPr>
                <w:vanish w:val="0"/>
              </w:rPr>
            </w:pPr>
            <w:r>
              <w:rPr>
                <w:b/>
              </w:rPr>
              <w:t xml:space="preserve">Đặc biệt</w:t>
            </w:r>
          </w:p>
        </w:tc>
        <w:tc>
          <w:tcPr>
            <w:tcW w:w="0" w:type="auto"/>
            <w:gridSpan w:val="4"/>
            <w:shd w:val="clear" w:color="auto" w:fill="auto"/>
            <w:vAlign w:val="center"/>
          </w:tcPr>
          <w:p>
            <w:pPr>
              <w:pStyle w:val="Normal(Web)"/>
              <w:divId w:val="190"/>
              <w:jc w:val="center"/>
              <w:rPr>
                <w:vanish w:val="0"/>
              </w:rPr>
            </w:pPr>
            <w:r>
              <w:rPr>
                <w:b/>
              </w:rPr>
              <w:t xml:space="preserve">I</w:t>
            </w:r>
          </w:p>
        </w:tc>
        <w:tc>
          <w:tcPr>
            <w:tcW w:w="0" w:type="auto"/>
            <w:gridSpan w:val="4"/>
            <w:shd w:val="clear" w:color="auto" w:fill="auto"/>
            <w:vAlign w:val="center"/>
          </w:tcPr>
          <w:p>
            <w:pPr>
              <w:pStyle w:val="Normal(Web)"/>
              <w:divId w:val="191"/>
              <w:jc w:val="center"/>
              <w:rPr>
                <w:vanish w:val="0"/>
              </w:rPr>
            </w:pPr>
            <w:r>
              <w:rPr>
                <w:b/>
              </w:rPr>
              <w:t xml:space="preserve">II</w:t>
            </w:r>
          </w:p>
        </w:tc>
        <w:tc>
          <w:tcPr>
            <w:tcW w:w="0" w:type="auto"/>
            <w:gridSpan w:val="4"/>
            <w:shd w:val="clear" w:color="auto" w:fill="auto"/>
            <w:vAlign w:val="center"/>
          </w:tcPr>
          <w:p>
            <w:pPr>
              <w:pStyle w:val="Normal(Web)"/>
              <w:divId w:val="192"/>
              <w:jc w:val="center"/>
              <w:rPr>
                <w:vanish w:val="0"/>
              </w:rPr>
            </w:pPr>
            <w:r>
              <w:rPr>
                <w:b/>
              </w:rPr>
              <w:t xml:space="preserve">III</w:t>
            </w:r>
          </w:p>
        </w:tc>
        <w:tc>
          <w:tcPr>
            <w:tcW w:w="0" w:type="auto"/>
            <w:gridSpan w:val="4"/>
            <w:shd w:val="clear" w:color="auto" w:fill="auto"/>
            <w:vAlign w:val="center"/>
          </w:tcPr>
          <w:p>
            <w:pPr>
              <w:pStyle w:val="Normal(Web)"/>
              <w:divId w:val="193"/>
              <w:jc w:val="center"/>
              <w:rPr>
                <w:vanish w:val="0"/>
              </w:rPr>
            </w:pPr>
            <w:r>
              <w:rPr>
                <w:b/>
              </w:rPr>
              <w:t xml:space="preserve">IV</w:t>
            </w:r>
          </w:p>
        </w:tc>
      </w:tr>
      <w:tr>
        <w:trPr>
          <w:jc w:val="left"/>
        </w:trPr>
        <w:tc>
          <w:tcPr>
            <w:tcW w:w="0" w:type="auto"/>
            <w:shd w:val="clear" w:color="auto" w:fill="auto"/>
            <w:vAlign w:val="center"/>
          </w:tcPr>
          <w:p>
            <w:pPr>
              <w:pStyle w:val="Normal(Web)"/>
              <w:divId w:val="194"/>
              <w:jc w:val="center"/>
              <w:rPr>
                <w:vanish w:val="0"/>
              </w:rPr>
            </w:pPr>
            <w:r>
              <w:t xml:space="preserve">III.1.4</w:t>
            </w:r>
          </w:p>
        </w:tc>
        <w:tc>
          <w:tcPr>
            <w:tcW w:w="0" w:type="auto"/>
            <w:shd w:val="clear" w:color="auto" w:fill="auto"/>
            <w:vAlign w:val="center"/>
          </w:tcPr>
          <w:p>
            <w:pPr>
              <w:pStyle w:val="Normal(Web)"/>
              <w:divId w:val="195"/>
              <w:rPr>
                <w:vanish w:val="0"/>
              </w:rPr>
            </w:pPr>
            <w:r>
              <w:t xml:space="preserve">Công trình khác</w:t>
            </w:r>
          </w:p>
        </w:tc>
        <w:tc>
          <w:tcPr>
            <w:tcW w:w="0" w:type="auto"/>
            <w:shd w:val="clear" w:color="auto" w:fill="auto"/>
            <w:vAlign w:val="center"/>
          </w:tcPr>
          <w:p>
            <w:pPr>
              <w:pStyle w:val="Normal(Web)"/>
              <w:divId w:val="196"/>
              <w:rPr>
                <w:vanish w:val="0"/>
              </w:rPr>
            </w:pPr>
            <w:r>
              <w:t xml:space="preserve">III.1.4.3 Nghĩa trang</w:t>
            </w:r>
          </w:p>
        </w:tc>
        <w:tc>
          <w:tcPr>
            <w:tcW w:w="0" w:type="auto"/>
            <w:shd w:val="clear" w:color="auto" w:fill="auto"/>
            <w:vAlign w:val="center"/>
          </w:tcPr>
          <w:p>
            <w:pPr>
              <w:pStyle w:val="Normal(Web)"/>
              <w:divId w:val="197"/>
              <w:jc w:val="center"/>
              <w:rPr>
                <w:vanish w:val="0"/>
              </w:rPr>
            </w:pPr>
            <w:r>
              <w:t xml:space="preserve">ha</w:t>
            </w:r>
          </w:p>
        </w:tc>
        <w:tc>
          <w:tcPr>
            <w:tcW w:w="0" w:type="auto"/>
            <w:gridSpan w:val="4"/>
            <w:shd w:val="clear" w:color="auto" w:fill="auto"/>
            <w:vAlign w:val="center"/>
          </w:tcPr>
          <w:p>
            <w:pPr>
              <w:pStyle w:val="Normal(Web)"/>
              <w:divId w:val="198"/>
              <w:jc w:val="center"/>
              <w:rPr>
                <w:vanish w:val="0"/>
              </w:rPr>
            </w:pPr>
            <w:r>
              <w:t xml:space="preserve">-</w:t>
            </w:r>
          </w:p>
        </w:tc>
        <w:tc>
          <w:tcPr>
            <w:tcW w:w="0" w:type="auto"/>
            <w:gridSpan w:val="4"/>
            <w:shd w:val="clear" w:color="auto" w:fill="auto"/>
            <w:vAlign w:val="center"/>
          </w:tcPr>
          <w:p>
            <w:pPr>
              <w:pStyle w:val="Normal(Web)"/>
              <w:divId w:val="199"/>
              <w:jc w:val="center"/>
              <w:rPr>
                <w:vanish w:val="0"/>
              </w:rPr>
            </w:pPr>
            <w:r>
              <w:t xml:space="preserve">Nghĩa trang Quốc gia</w:t>
            </w:r>
          </w:p>
        </w:tc>
        <w:tc>
          <w:tcPr>
            <w:tcW w:w="0" w:type="auto"/>
            <w:gridSpan w:val="4"/>
            <w:shd w:val="clear" w:color="auto" w:fill="auto"/>
            <w:vAlign w:val="center"/>
          </w:tcPr>
          <w:p>
            <w:pPr>
              <w:pStyle w:val="Normal(Web)"/>
              <w:divId w:val="200"/>
              <w:jc w:val="center"/>
              <w:rPr>
                <w:vanish w:val="0"/>
              </w:rPr>
            </w:pPr>
            <w:r>
              <w:t xml:space="preserve">&gt; 60</w:t>
            </w:r>
          </w:p>
        </w:tc>
        <w:tc>
          <w:tcPr>
            <w:tcW w:w="0" w:type="auto"/>
            <w:gridSpan w:val="4"/>
            <w:shd w:val="clear" w:color="auto" w:fill="auto"/>
            <w:vAlign w:val="center"/>
          </w:tcPr>
          <w:p>
            <w:pPr>
              <w:pStyle w:val="Normal(Web)"/>
              <w:divId w:val="201"/>
              <w:jc w:val="center"/>
              <w:rPr>
                <w:vanish w:val="0"/>
              </w:rPr>
            </w:pPr>
            <w:r>
              <w:t xml:space="preserve">30 ÷ &lt;&gt;</w:t>
            </w:r>
          </w:p>
        </w:tc>
      </w:tr>
    </w:tbl>
    <w:p>
      <w:pPr>
        <w:pStyle w:val="Normal(Web)"/>
        <w:divId w:val="202"/>
        <w:rPr>
          <w:vanish w:val="0"/>
        </w:rPr>
      </w:pPr>
      <w:r>
        <w:t xml:space="preserve">i) Bổ sung khoản 5 phần Ghi chú của Bảng I.1, I.2 và I.3; khoản 5 phần Ghi chú Bảng II.1, II.2; khoản 4 phần Ghi chú của Bảng III.1, III.2; phần Ghi chú của Bảng IV nội dung sau:</w:t>
      </w:r>
    </w:p>
    <w:p>
      <w:pPr>
        <w:pStyle w:val="Normal(Web)"/>
        <w:divId w:val="203"/>
        <w:rPr>
          <w:vanish w:val="0"/>
        </w:rPr>
      </w:pPr>
      <w:r>
        <w:t xml:space="preserve">“Các công trình tường chắn đất hoặc các loại vật liệu rời được xác định cấp theo công trình tường chắn Mục V.1.4 Bảng V.”</w:t>
      </w:r>
    </w:p>
    <w:p>
      <w:pPr>
        <w:pStyle w:val="Normal(Web)"/>
        <w:divId w:val="204"/>
        <w:rPr>
          <w:vanish w:val="0"/>
        </w:rPr>
      </w:pPr>
      <w:r>
        <w:t xml:space="preserve">k) Sửa đổi mục IV.1.3 Đường trong đô thị và mục IV.1.4 Công trình đường nông thôn Bảng IV Phân cấp các loại công trình giao thông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tblGrid>
      <w:tr>
        <w:trPr>
          <w:jc w:val="left"/>
        </w:trPr>
        <w:tc>
          <w:tcPr>
            <w:tcW w:w="0" w:type="auto"/>
            <w:vMerge w:val="restart"/>
            <w:shd w:val="clear" w:color="auto" w:fill="auto"/>
            <w:vAlign w:val="center"/>
          </w:tcPr>
          <w:p>
            <w:pPr>
              <w:pStyle w:val="Normal(Web)"/>
              <w:divId w:val="205"/>
              <w:jc w:val="center"/>
              <w:rPr>
                <w:vanish w:val="0"/>
              </w:rPr>
            </w:pPr>
            <w:r>
              <w:rPr>
                <w:b/>
              </w:rPr>
              <w:t xml:space="preserve">Mã s</w:t>
            </w:r>
            <w:r>
              <w:rPr>
                <w:b/>
              </w:rPr>
              <w:t xml:space="preserve">ố</w:t>
            </w:r>
          </w:p>
        </w:tc>
        <w:tc>
          <w:tcPr>
            <w:tcW w:w="0" w:type="auto"/>
            <w:hMerge w:val="restart"/>
            <w:vMerge w:val="restart"/>
            <w:shd w:val="clear" w:color="auto" w:fill="auto"/>
            <w:vAlign w:val="center"/>
          </w:tcPr>
          <w:p>
            <w:pPr>
              <w:pStyle w:val="Normal(Web)"/>
              <w:divId w:val="206"/>
              <w:jc w:val="center"/>
              <w:rPr>
                <w:vanish w:val="0"/>
              </w:rPr>
            </w:pPr>
            <w:r>
              <w:rPr>
                <w:b/>
              </w:rPr>
              <w:t xml:space="preserve">Loại công trình</w:t>
            </w:r>
          </w:p>
        </w:tc>
        <w:tc>
          <w:tcPr>
            <w:tcW w:w="0" w:type="auto"/>
            <w:hMerge/>
            <w:shd w:val="clear" w:color="auto" w:fill="auto"/>
            <w:vAlign w:val="center"/>
          </w:tcPr>
          <w:p>
            <w:pPr/>
          </w:p>
        </w:tc>
        <w:tc>
          <w:tcPr>
            <w:tcW w:w="0" w:type="auto"/>
            <w:vMerge w:val="restart"/>
            <w:shd w:val="clear" w:color="auto" w:fill="auto"/>
            <w:vAlign w:val="center"/>
          </w:tcPr>
          <w:p>
            <w:pPr>
              <w:pStyle w:val="Normal(Web)"/>
              <w:divId w:val="207"/>
              <w:jc w:val="center"/>
              <w:rPr>
                <w:vanish w:val="0"/>
              </w:rPr>
            </w:pPr>
            <w:r>
              <w:rPr>
                <w:b/>
              </w:rPr>
              <w:t xml:space="preserve">Tiêu chí phân cấp</w:t>
            </w:r>
          </w:p>
        </w:tc>
        <w:tc>
          <w:tcPr>
            <w:tcW w:w="0" w:type="auto"/>
            <w:hMerge w:val="restart"/>
            <w:shd w:val="clear" w:color="auto" w:fill="auto"/>
            <w:vAlign w:val="center"/>
          </w:tcPr>
          <w:p>
            <w:pPr>
              <w:pStyle w:val="Normal(Web)"/>
              <w:divId w:val="208"/>
              <w:jc w:val="center"/>
              <w:rPr>
                <w:vanish w:val="0"/>
              </w:rPr>
            </w:pPr>
            <w:r>
              <w:rPr>
                <w:b/>
              </w:rPr>
              <w:t xml:space="preserve">Cấp công trình</w:t>
            </w:r>
          </w:p>
        </w:tc>
        <w:tc>
          <w:tcPr>
            <w:tcW w:w="0" w:type="auto"/>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209"/>
              <w:jc w:val="center"/>
              <w:rPr>
                <w:vanish w:val="0"/>
              </w:rPr>
            </w:pPr>
            <w:r>
              <w:rPr>
                <w:b/>
              </w:rPr>
              <w:t xml:space="preserve">Đặc bi</w:t>
            </w:r>
            <w:r>
              <w:rPr>
                <w:b/>
              </w:rPr>
              <w:t xml:space="preserve">ệ</w:t>
            </w:r>
            <w:r>
              <w:rPr>
                <w:b/>
              </w:rPr>
              <w:t xml:space="preserve">t</w:t>
            </w:r>
          </w:p>
        </w:tc>
        <w:tc>
          <w:tcPr>
            <w:tcW w:w="0" w:type="auto"/>
            <w:shd w:val="clear" w:color="auto" w:fill="auto"/>
            <w:vAlign w:val="center"/>
          </w:tcPr>
          <w:p>
            <w:pPr>
              <w:pStyle w:val="Normal(Web)"/>
              <w:divId w:val="210"/>
              <w:jc w:val="center"/>
              <w:rPr>
                <w:vanish w:val="0"/>
              </w:rPr>
            </w:pPr>
            <w:r>
              <w:rPr>
                <w:b/>
              </w:rPr>
              <w:t xml:space="preserve">I</w:t>
            </w:r>
          </w:p>
        </w:tc>
        <w:tc>
          <w:tcPr>
            <w:tcW w:w="0" w:type="auto"/>
            <w:gridSpan w:val="6"/>
            <w:shd w:val="clear" w:color="auto" w:fill="auto"/>
            <w:vAlign w:val="center"/>
          </w:tcPr>
          <w:p>
            <w:pPr>
              <w:pStyle w:val="Normal(Web)"/>
              <w:divId w:val="211"/>
              <w:jc w:val="center"/>
              <w:rPr>
                <w:vanish w:val="0"/>
              </w:rPr>
            </w:pPr>
            <w:r>
              <w:rPr>
                <w:b/>
              </w:rPr>
              <w:t xml:space="preserve">II</w:t>
            </w:r>
          </w:p>
        </w:tc>
        <w:tc>
          <w:tcPr>
            <w:tcW w:w="0" w:type="auto"/>
            <w:gridSpan w:val="6"/>
            <w:hMerge w:val="restart"/>
            <w:shd w:val="clear" w:color="auto" w:fill="auto"/>
            <w:vAlign w:val="center"/>
          </w:tcPr>
          <w:p>
            <w:pPr>
              <w:pStyle w:val="Normal(Web)"/>
              <w:divId w:val="212"/>
              <w:jc w:val="center"/>
              <w:rPr>
                <w:vanish w:val="0"/>
              </w:rPr>
            </w:pPr>
            <w:r>
              <w:rPr>
                <w:b/>
              </w:rPr>
              <w:t xml:space="preserve">III</w:t>
            </w:r>
          </w:p>
        </w:tc>
        <w:tc>
          <w:tcPr>
            <w:tcW w:w="0" w:type="auto"/>
            <w:gridSpan w:val="6"/>
            <w:hMerge/>
            <w:shd w:val="clear" w:color="auto" w:fill="auto"/>
            <w:vAlign w:val="center"/>
          </w:tcPr>
          <w:p>
            <w:pPr/>
          </w:p>
        </w:tc>
        <w:tc>
          <w:tcPr>
            <w:tcW w:w="0" w:type="auto"/>
            <w:gridSpan w:val="6"/>
            <w:hMerge w:val="restart"/>
            <w:shd w:val="clear" w:color="auto" w:fill="auto"/>
            <w:vAlign w:val="center"/>
          </w:tcPr>
          <w:p>
            <w:pPr>
              <w:pStyle w:val="Normal(Web)"/>
              <w:divId w:val="213"/>
              <w:jc w:val="center"/>
              <w:rPr>
                <w:vanish w:val="0"/>
              </w:rPr>
            </w:pPr>
            <w:r>
              <w:rPr>
                <w:b/>
              </w:rPr>
              <w:t xml:space="preserve">IV</w:t>
            </w:r>
          </w:p>
        </w:tc>
        <w:tc>
          <w:tcPr>
            <w:tcW w:w="0" w:type="auto"/>
            <w:gridSpan w:val="6"/>
            <w:hMerge/>
            <w:shd w:val="clear" w:color="auto" w:fill="auto"/>
            <w:vAlign w:val="center"/>
          </w:tcPr>
          <w:p>
            <w:pPr/>
          </w:p>
        </w:tc>
      </w:tr>
      <w:tr>
        <w:trPr>
          <w:jc w:val="left"/>
        </w:trPr>
        <w:tc>
          <w:tcPr>
            <w:tcW w:w="0" w:type="auto"/>
            <w:vMerge w:val="restart"/>
            <w:shd w:val="clear" w:color="auto" w:fill="auto"/>
            <w:vAlign w:val="center"/>
          </w:tcPr>
          <w:p>
            <w:pPr>
              <w:pStyle w:val="Normal(Web)"/>
              <w:divId w:val="214"/>
              <w:jc w:val="center"/>
              <w:rPr>
                <w:vanish w:val="0"/>
              </w:rPr>
            </w:pPr>
            <w:r>
              <w:t xml:space="preserve">IV.1</w:t>
            </w:r>
          </w:p>
        </w:tc>
        <w:tc>
          <w:tcPr>
            <w:tcW w:w="0" w:type="auto"/>
            <w:vMerge w:val="restart"/>
            <w:shd w:val="clear" w:color="auto" w:fill="auto"/>
            <w:vAlign w:val="center"/>
          </w:tcPr>
          <w:p>
            <w:pPr>
              <w:pStyle w:val="Normal(Web)"/>
              <w:divId w:val="215"/>
              <w:rPr>
                <w:vanish w:val="0"/>
              </w:rPr>
            </w:pPr>
            <w:r>
              <w:t xml:space="preserve">Đường bộ</w:t>
            </w:r>
          </w:p>
        </w:tc>
        <w:tc>
          <w:tcPr>
            <w:tcW w:w="0" w:type="auto"/>
            <w:hMerge w:val="restart"/>
            <w:shd w:val="clear" w:color="auto" w:fill="auto"/>
            <w:vAlign w:val="center"/>
          </w:tcPr>
          <w:p>
            <w:pPr>
              <w:pStyle w:val="Normal(Web)"/>
              <w:divId w:val="216"/>
              <w:rPr>
                <w:vanish w:val="0"/>
              </w:rPr>
            </w:pPr>
            <w:r>
              <w:t xml:space="preserve">IV.1.3 Đường trong đô thị</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217"/>
              <w:rPr>
                <w:vanish w:val="0"/>
              </w:rPr>
            </w:pPr>
            <w:r>
              <w:t xml:space="preserve">a) Đường cao tốc đô thị; đường trục chính đô thị; đường trục đô thị</w:t>
            </w:r>
          </w:p>
        </w:tc>
        <w:tc>
          <w:tcPr>
            <w:tcW w:w="0" w:type="auto"/>
            <w:shd w:val="clear" w:color="auto" w:fill="auto"/>
            <w:vAlign w:val="center"/>
          </w:tcPr>
          <w:p>
            <w:pPr>
              <w:pStyle w:val="Normal(Web)"/>
              <w:divId w:val="218"/>
              <w:jc w:val="center"/>
              <w:rPr>
                <w:vanish w:val="0"/>
              </w:rPr>
            </w:pPr>
            <w:r>
              <w:t xml:space="preserve">Tốc độ (km/h)</w:t>
            </w:r>
          </w:p>
        </w:tc>
        <w:tc>
          <w:tcPr>
            <w:tcW w:w="0" w:type="auto"/>
            <w:shd w:val="clear" w:color="auto" w:fill="auto"/>
            <w:vAlign w:val="center"/>
          </w:tcPr>
          <w:p>
            <w:pPr>
              <w:pStyle w:val="Normal(Web)"/>
              <w:divId w:val="219"/>
              <w:jc w:val="center"/>
              <w:rPr>
                <w:vanish w:val="0"/>
              </w:rPr>
            </w:pPr>
            <w:r>
              <w:t xml:space="preserve">120</w:t>
            </w:r>
          </w:p>
        </w:tc>
        <w:tc>
          <w:tcPr>
            <w:tcW w:w="0" w:type="auto"/>
            <w:shd w:val="clear" w:color="auto" w:fill="auto"/>
            <w:vAlign w:val="center"/>
          </w:tcPr>
          <w:p>
            <w:pPr>
              <w:pStyle w:val="Normal(Web)"/>
              <w:divId w:val="220"/>
              <w:jc w:val="center"/>
              <w:rPr>
                <w:vanish w:val="0"/>
              </w:rPr>
            </w:pPr>
            <w:r>
              <w:t xml:space="preserve">80</w:t>
            </w:r>
          </w:p>
          <w:p>
            <w:pPr>
              <w:pStyle w:val="Normal(Web)"/>
              <w:divId w:val="221"/>
              <w:jc w:val="center"/>
              <w:rPr>
                <w:vanish w:val="0"/>
              </w:rPr>
            </w:pPr>
            <w:r>
              <w:t xml:space="preserve">100</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222"/>
              <w:rPr>
                <w:vanish w:val="0"/>
              </w:rPr>
            </w:pPr>
            <w:r>
              <w:t xml:space="preserve">b) Đường liên khu vực</w:t>
            </w:r>
          </w:p>
        </w:tc>
        <w:tc>
          <w:tcPr>
            <w:tcW w:w="0" w:type="auto"/>
            <w:shd w:val="clear" w:color="auto" w:fill="auto"/>
            <w:vAlign w:val="center"/>
          </w:tcPr>
          <w:p>
            <w:pPr>
              <w:pStyle w:val="Normal(Web)"/>
              <w:divId w:val="223"/>
              <w:jc w:val="center"/>
              <w:rPr>
                <w:vanish w:val="0"/>
              </w:rPr>
            </w:pPr>
            <w:r>
              <w:t xml:space="preserve">Tốc độ (km/h)</w:t>
            </w:r>
          </w:p>
        </w:tc>
        <w:tc>
          <w:tcPr>
            <w:tcW w:w="0" w:type="auto"/>
            <w:shd w:val="clear" w:color="auto" w:fill="auto"/>
            <w:vAlign w:val="center"/>
          </w:tcPr>
          <w:p>
            <w:pPr>
              <w:pStyle w:val="Normal(Web)"/>
              <w:divId w:val="224"/>
              <w:jc w:val="center"/>
              <w:rPr>
                <w:vanish w:val="0"/>
              </w:rPr>
            </w:pPr>
            <w:r>
              <w:t xml:space="preserve">-</w:t>
            </w:r>
          </w:p>
        </w:tc>
        <w:tc>
          <w:tcPr>
            <w:tcW w:w="0" w:type="auto"/>
            <w:shd w:val="clear" w:color="auto" w:fill="auto"/>
            <w:vAlign w:val="center"/>
          </w:tcPr>
          <w:p>
            <w:pPr>
              <w:pStyle w:val="Normal(Web)"/>
              <w:divId w:val="225"/>
              <w:jc w:val="center"/>
              <w:rPr>
                <w:vanish w:val="0"/>
              </w:rPr>
            </w:pPr>
            <w:r>
              <w:t xml:space="preserve">-</w:t>
            </w:r>
          </w:p>
        </w:tc>
        <w:tc>
          <w:tcPr>
            <w:tcW w:w="0" w:type="auto"/>
            <w:gridSpan w:val="6"/>
            <w:shd w:val="clear" w:color="auto" w:fill="auto"/>
            <w:vAlign w:val="center"/>
          </w:tcPr>
          <w:p>
            <w:pPr>
              <w:pStyle w:val="Normal(Web)"/>
              <w:divId w:val="226"/>
              <w:jc w:val="center"/>
              <w:rPr>
                <w:vanish w:val="0"/>
              </w:rPr>
            </w:pPr>
            <w:r>
              <w:t xml:space="preserve">60</w:t>
            </w:r>
          </w:p>
        </w:tc>
        <w:tc>
          <w:tcPr>
            <w:tcW w:w="0" w:type="auto"/>
            <w:gridSpan w:val="6"/>
            <w:hMerge w:val="restart"/>
            <w:shd w:val="clear" w:color="auto" w:fill="auto"/>
            <w:vAlign w:val="center"/>
          </w:tcPr>
          <w:p>
            <w:pPr>
              <w:pStyle w:val="Normal(Web)"/>
              <w:divId w:val="227"/>
              <w:jc w:val="center"/>
              <w:rPr>
                <w:vanish w:val="0"/>
              </w:rPr>
            </w:pPr>
            <w:r>
              <w:t xml:space="preserve">-</w:t>
            </w:r>
          </w:p>
        </w:tc>
        <w:tc>
          <w:tcPr>
            <w:tcW w:w="0" w:type="auto"/>
            <w:gridSpan w:val="6"/>
            <w:hMerge/>
            <w:shd w:val="clear" w:color="auto" w:fill="auto"/>
            <w:vAlign w:val="center"/>
          </w:tcPr>
          <w:p>
            <w:pPr/>
          </w:p>
        </w:tc>
        <w:tc>
          <w:tcPr>
            <w:tcW w:w="0" w:type="auto"/>
            <w:gridSpan w:val="6"/>
            <w:hMerge w:val="restart"/>
            <w:shd w:val="clear" w:color="auto" w:fill="auto"/>
            <w:vAlign w:val="center"/>
          </w:tcPr>
          <w:p>
            <w:pPr>
              <w:pStyle w:val="Normal(Web)"/>
              <w:divId w:val="228"/>
              <w:jc w:val="center"/>
              <w:rPr>
                <w:vanish w:val="0"/>
              </w:rPr>
            </w:pPr>
            <w:r>
              <w:t xml:space="preserve">-</w:t>
            </w:r>
          </w:p>
        </w:tc>
        <w:tc>
          <w:tcPr>
            <w:tcW w:w="0" w:type="auto"/>
            <w:gridSpan w:val="6"/>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229"/>
              <w:rPr>
                <w:vanish w:val="0"/>
              </w:rPr>
            </w:pPr>
            <w:r>
              <w:t xml:space="preserve">c) Đường chính khu vực; đường khu vực</w:t>
            </w:r>
          </w:p>
        </w:tc>
        <w:tc>
          <w:tcPr>
            <w:tcW w:w="0" w:type="auto"/>
            <w:shd w:val="clear" w:color="auto" w:fill="auto"/>
            <w:vAlign w:val="center"/>
          </w:tcPr>
          <w:p>
            <w:pPr>
              <w:pStyle w:val="Normal(Web)"/>
              <w:divId w:val="230"/>
              <w:jc w:val="center"/>
              <w:rPr>
                <w:vanish w:val="0"/>
              </w:rPr>
            </w:pPr>
            <w:r>
              <w:t xml:space="preserve">Tốc độ (km/h)</w:t>
            </w:r>
          </w:p>
        </w:tc>
        <w:tc>
          <w:tcPr>
            <w:tcW w:w="0" w:type="auto"/>
            <w:shd w:val="clear" w:color="auto" w:fill="auto"/>
            <w:vAlign w:val="center"/>
          </w:tcPr>
          <w:p>
            <w:pPr>
              <w:pStyle w:val="Normal(Web)"/>
              <w:divId w:val="231"/>
              <w:jc w:val="center"/>
              <w:rPr>
                <w:vanish w:val="0"/>
              </w:rPr>
            </w:pPr>
            <w:r>
              <w:t xml:space="preserve">-</w:t>
            </w:r>
          </w:p>
        </w:tc>
        <w:tc>
          <w:tcPr>
            <w:tcW w:w="0" w:type="auto"/>
            <w:shd w:val="clear" w:color="auto" w:fill="auto"/>
            <w:vAlign w:val="center"/>
          </w:tcPr>
          <w:p>
            <w:pPr>
              <w:pStyle w:val="Normal(Web)"/>
              <w:divId w:val="232"/>
              <w:jc w:val="center"/>
              <w:rPr>
                <w:vanish w:val="0"/>
              </w:rPr>
            </w:pPr>
            <w:r>
              <w:t xml:space="preserve">-</w:t>
            </w:r>
          </w:p>
        </w:tc>
        <w:tc>
          <w:tcPr>
            <w:tcW w:w="0" w:type="auto"/>
            <w:gridSpan w:val="6"/>
            <w:shd w:val="clear" w:color="auto" w:fill="auto"/>
            <w:vAlign w:val="center"/>
          </w:tcPr>
          <w:p>
            <w:pPr>
              <w:pStyle w:val="Normal(Web)"/>
              <w:divId w:val="233"/>
              <w:jc w:val="center"/>
              <w:rPr>
                <w:vanish w:val="0"/>
              </w:rPr>
            </w:pPr>
            <w:r>
              <w:t xml:space="preserve">60</w:t>
            </w:r>
          </w:p>
        </w:tc>
        <w:tc>
          <w:tcPr>
            <w:tcW w:w="0" w:type="auto"/>
            <w:gridSpan w:val="6"/>
            <w:hMerge w:val="restart"/>
            <w:shd w:val="clear" w:color="auto" w:fill="auto"/>
            <w:vAlign w:val="center"/>
          </w:tcPr>
          <w:p>
            <w:pPr>
              <w:pStyle w:val="Normal(Web)"/>
              <w:divId w:val="234"/>
              <w:jc w:val="center"/>
              <w:rPr>
                <w:vanish w:val="0"/>
              </w:rPr>
            </w:pPr>
            <w:r>
              <w:t xml:space="preserve">40­ ÷ 50</w:t>
            </w:r>
          </w:p>
        </w:tc>
        <w:tc>
          <w:tcPr>
            <w:tcW w:w="0" w:type="auto"/>
            <w:gridSpan w:val="6"/>
            <w:hMerge/>
            <w:shd w:val="clear" w:color="auto" w:fill="auto"/>
            <w:vAlign w:val="center"/>
          </w:tcPr>
          <w:p>
            <w:pPr/>
          </w:p>
        </w:tc>
        <w:tc>
          <w:tcPr>
            <w:tcW w:w="0" w:type="auto"/>
            <w:gridSpan w:val="6"/>
            <w:hMerge w:val="restart"/>
            <w:shd w:val="clear" w:color="auto" w:fill="auto"/>
            <w:vAlign w:val="center"/>
          </w:tcPr>
          <w:p>
            <w:pPr>
              <w:pStyle w:val="Normal(Web)"/>
              <w:divId w:val="235"/>
              <w:jc w:val="center"/>
              <w:rPr>
                <w:vanish w:val="0"/>
              </w:rPr>
            </w:pPr>
            <w:r>
              <w:t xml:space="preserve">-</w:t>
            </w:r>
          </w:p>
        </w:tc>
        <w:tc>
          <w:tcPr>
            <w:tcW w:w="0" w:type="auto"/>
            <w:gridSpan w:val="6"/>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236"/>
              <w:rPr>
                <w:vanish w:val="0"/>
              </w:rPr>
            </w:pPr>
            <w:r>
              <w:t xml:space="preserve">d) Đường phân khu vực; đường nhóm nhà ở, vào nhà</w:t>
            </w:r>
          </w:p>
        </w:tc>
        <w:tc>
          <w:tcPr>
            <w:tcW w:w="0" w:type="auto"/>
            <w:shd w:val="clear" w:color="auto" w:fill="auto"/>
            <w:vAlign w:val="center"/>
          </w:tcPr>
          <w:p>
            <w:pPr>
              <w:pStyle w:val="Normal(Web)"/>
              <w:divId w:val="237"/>
              <w:jc w:val="center"/>
              <w:rPr>
                <w:vanish w:val="0"/>
              </w:rPr>
            </w:pPr>
            <w:r>
              <w:t xml:space="preserve">Tốc độ (km/h)</w:t>
            </w:r>
          </w:p>
        </w:tc>
        <w:tc>
          <w:tcPr>
            <w:tcW w:w="0" w:type="auto"/>
            <w:shd w:val="clear" w:color="auto" w:fill="auto"/>
            <w:vAlign w:val="center"/>
          </w:tcPr>
          <w:p>
            <w:pPr>
              <w:pStyle w:val="Normal(Web)"/>
              <w:divId w:val="238"/>
              <w:jc w:val="center"/>
              <w:rPr>
                <w:vanish w:val="0"/>
              </w:rPr>
            </w:pPr>
            <w:r>
              <w:t xml:space="preserve">-</w:t>
            </w:r>
          </w:p>
        </w:tc>
        <w:tc>
          <w:tcPr>
            <w:tcW w:w="0" w:type="auto"/>
            <w:shd w:val="clear" w:color="auto" w:fill="auto"/>
            <w:vAlign w:val="center"/>
          </w:tcPr>
          <w:p>
            <w:pPr>
              <w:pStyle w:val="Normal(Web)"/>
              <w:divId w:val="239"/>
              <w:jc w:val="center"/>
              <w:rPr>
                <w:vanish w:val="0"/>
              </w:rPr>
            </w:pPr>
            <w:r>
              <w:t xml:space="preserve">-</w:t>
            </w:r>
          </w:p>
        </w:tc>
        <w:tc>
          <w:tcPr>
            <w:tcW w:w="0" w:type="auto"/>
            <w:gridSpan w:val="6"/>
            <w:shd w:val="clear" w:color="auto" w:fill="auto"/>
            <w:vAlign w:val="center"/>
          </w:tcPr>
          <w:p>
            <w:pPr>
              <w:pStyle w:val="Normal(Web)"/>
              <w:divId w:val="240"/>
              <w:jc w:val="center"/>
              <w:rPr>
                <w:vanish w:val="0"/>
              </w:rPr>
            </w:pPr>
            <w:r>
              <w:t xml:space="preserve">-</w:t>
            </w:r>
          </w:p>
        </w:tc>
        <w:tc>
          <w:tcPr>
            <w:tcW w:w="0" w:type="auto"/>
            <w:gridSpan w:val="6"/>
            <w:hMerge w:val="restart"/>
            <w:shd w:val="clear" w:color="auto" w:fill="auto"/>
            <w:vAlign w:val="center"/>
          </w:tcPr>
          <w:p>
            <w:pPr>
              <w:pStyle w:val="Normal(Web)"/>
              <w:divId w:val="241"/>
              <w:jc w:val="center"/>
              <w:rPr>
                <w:vanish w:val="0"/>
              </w:rPr>
            </w:pPr>
            <w:r>
              <w:t xml:space="preserve">40</w:t>
            </w:r>
          </w:p>
        </w:tc>
        <w:tc>
          <w:tcPr>
            <w:tcW w:w="0" w:type="auto"/>
            <w:gridSpan w:val="6"/>
            <w:hMerge/>
            <w:shd w:val="clear" w:color="auto" w:fill="auto"/>
            <w:vAlign w:val="center"/>
          </w:tcPr>
          <w:p>
            <w:pPr/>
          </w:p>
        </w:tc>
        <w:tc>
          <w:tcPr>
            <w:tcW w:w="0" w:type="auto"/>
            <w:gridSpan w:val="6"/>
            <w:hMerge w:val="restart"/>
            <w:shd w:val="clear" w:color="auto" w:fill="auto"/>
            <w:vAlign w:val="center"/>
          </w:tcPr>
          <w:p>
            <w:pPr>
              <w:pStyle w:val="Normal(Web)"/>
              <w:divId w:val="242"/>
              <w:jc w:val="center"/>
              <w:rPr>
                <w:vanish w:val="0"/>
              </w:rPr>
            </w:pPr>
            <w:r>
              <w:t xml:space="preserve">20 ÷ 30</w:t>
            </w:r>
          </w:p>
        </w:tc>
        <w:tc>
          <w:tcPr>
            <w:tcW w:w="0" w:type="auto"/>
            <w:gridSpan w:val="6"/>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243"/>
              <w:rPr>
                <w:vanish w:val="0"/>
              </w:rPr>
            </w:pPr>
            <w:r>
              <w:t xml:space="preserve">đ) Đường xe đạp; đường đi bộ</w:t>
            </w:r>
          </w:p>
        </w:tc>
        <w:tc>
          <w:tcPr>
            <w:tcW w:w="0" w:type="auto"/>
            <w:hMerge w:val="restart"/>
            <w:shd w:val="clear" w:color="auto" w:fill="auto"/>
            <w:vAlign w:val="center"/>
          </w:tcPr>
          <w:p>
            <w:pPr>
              <w:pStyle w:val="Normal(Web)"/>
              <w:divId w:val="244"/>
              <w:jc w:val="center"/>
              <w:rPr>
                <w:vanish w:val="0"/>
              </w:rPr>
            </w:pPr>
            <w:r>
              <w:t xml:space="preserve">Cấp IV</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245"/>
              <w:rPr>
                <w:vanish w:val="0"/>
              </w:rPr>
            </w:pPr>
            <w:r>
              <w:t xml:space="preserve">IV.1.4 Đường nông thôn</w:t>
            </w:r>
          </w:p>
        </w:tc>
        <w:tc>
          <w:tcPr>
            <w:tcW w:w="0" w:type="auto"/>
            <w:shd w:val="clear" w:color="auto" w:fill="auto"/>
            <w:vAlign w:val="center"/>
          </w:tcPr>
          <w:p>
            <w:pPr>
              <w:pStyle w:val="Normal(Web)"/>
              <w:divId w:val="246"/>
              <w:jc w:val="center"/>
              <w:rPr>
                <w:vanish w:val="0"/>
              </w:rPr>
            </w:pPr>
            <w:r>
              <w:t xml:space="preserve">Loại (theo QĐ số 315/QĐ-BGTVT ngày 23/2/2011)</w:t>
            </w:r>
          </w:p>
        </w:tc>
        <w:tc>
          <w:tcPr>
            <w:tcW w:w="0" w:type="auto"/>
            <w:shd w:val="clear" w:color="auto" w:fill="auto"/>
            <w:vAlign w:val="center"/>
          </w:tcPr>
          <w:p>
            <w:pPr>
              <w:pStyle w:val="Normal(Web)"/>
              <w:divId w:val="247"/>
              <w:jc w:val="center"/>
              <w:rPr>
                <w:vanish w:val="0"/>
              </w:rPr>
            </w:pPr>
            <w:r>
              <w:t xml:space="preserve">-</w:t>
            </w:r>
          </w:p>
        </w:tc>
        <w:tc>
          <w:tcPr>
            <w:tcW w:w="0" w:type="auto"/>
            <w:shd w:val="clear" w:color="auto" w:fill="auto"/>
            <w:vAlign w:val="center"/>
          </w:tcPr>
          <w:p>
            <w:pPr>
              <w:pStyle w:val="Normal(Web)"/>
              <w:divId w:val="248"/>
              <w:jc w:val="center"/>
              <w:rPr>
                <w:vanish w:val="0"/>
              </w:rPr>
            </w:pPr>
            <w:r>
              <w:t xml:space="preserve">-</w:t>
            </w:r>
          </w:p>
        </w:tc>
        <w:tc>
          <w:tcPr>
            <w:tcW w:w="0" w:type="auto"/>
            <w:gridSpan w:val="6"/>
            <w:hMerge w:val="restart"/>
            <w:shd w:val="clear" w:color="auto" w:fill="auto"/>
            <w:vAlign w:val="center"/>
          </w:tcPr>
          <w:p>
            <w:pPr>
              <w:pStyle w:val="Normal(Web)"/>
              <w:divId w:val="249"/>
              <w:jc w:val="center"/>
              <w:rPr>
                <w:vanish w:val="0"/>
              </w:rPr>
            </w:pPr>
            <w:r>
              <w:t xml:space="preserve">-</w:t>
            </w:r>
          </w:p>
        </w:tc>
        <w:tc>
          <w:tcPr>
            <w:tcW w:w="0" w:type="auto"/>
            <w:gridSpan w:val="6"/>
            <w:hMerge/>
            <w:shd w:val="clear" w:color="auto" w:fill="auto"/>
            <w:vAlign w:val="center"/>
          </w:tcPr>
          <w:p>
            <w:pPr/>
          </w:p>
        </w:tc>
        <w:tc>
          <w:tcPr>
            <w:tcW w:w="0" w:type="auto"/>
            <w:gridSpan w:val="6"/>
            <w:hMerge w:val="restart"/>
            <w:shd w:val="clear" w:color="auto" w:fill="auto"/>
            <w:vAlign w:val="center"/>
          </w:tcPr>
          <w:p>
            <w:pPr>
              <w:pStyle w:val="Normal(Web)"/>
              <w:divId w:val="250"/>
              <w:jc w:val="center"/>
              <w:rPr>
                <w:vanish w:val="0"/>
              </w:rPr>
            </w:pPr>
            <w:r>
              <w:t xml:space="preserve">Loại AH</w:t>
            </w:r>
          </w:p>
        </w:tc>
        <w:tc>
          <w:tcPr>
            <w:tcW w:w="0" w:type="auto"/>
            <w:gridSpan w:val="6"/>
            <w:hMerge/>
            <w:shd w:val="clear" w:color="auto" w:fill="auto"/>
            <w:vAlign w:val="center"/>
          </w:tcPr>
          <w:p>
            <w:pPr/>
          </w:p>
        </w:tc>
        <w:tc>
          <w:tcPr>
            <w:tcW w:w="0" w:type="auto"/>
            <w:gridSpan w:val="6"/>
            <w:shd w:val="clear" w:color="auto" w:fill="auto"/>
            <w:vAlign w:val="center"/>
          </w:tcPr>
          <w:p>
            <w:pPr>
              <w:pStyle w:val="Normal(Web)"/>
              <w:divId w:val="251"/>
              <w:jc w:val="center"/>
              <w:rPr>
                <w:vanish w:val="0"/>
              </w:rPr>
            </w:pPr>
            <w:r>
              <w:t xml:space="preserve">Loại A</w:t>
            </w:r>
          </w:p>
          <w:p>
            <w:pPr>
              <w:pStyle w:val="Normal(Web)"/>
              <w:divId w:val="252"/>
              <w:jc w:val="center"/>
              <w:rPr>
                <w:vanish w:val="0"/>
              </w:rPr>
            </w:pPr>
            <w:r>
              <w:t xml:space="preserve">Loại</w:t>
            </w:r>
          </w:p>
          <w:p>
            <w:pPr>
              <w:pStyle w:val="Normal(Web)"/>
              <w:divId w:val="253"/>
              <w:jc w:val="center"/>
              <w:rPr>
                <w:vanish w:val="0"/>
              </w:rPr>
            </w:pPr>
            <w:r>
              <w:t xml:space="preserve">B</w:t>
            </w:r>
          </w:p>
          <w:p>
            <w:pPr>
              <w:pStyle w:val="Normal(Web)"/>
              <w:divId w:val="254"/>
              <w:jc w:val="center"/>
              <w:rPr>
                <w:vanish w:val="0"/>
              </w:rPr>
            </w:pPr>
            <w:r>
              <w:t xml:space="preserve">Loại C</w:t>
            </w:r>
          </w:p>
        </w:tc>
      </w:tr>
    </w:tbl>
    <w:p>
      <w:pPr>
        <w:pStyle w:val="Normal(Web)"/>
        <w:divId w:val="255"/>
        <w:rPr>
          <w:vanish w:val="0"/>
        </w:rPr>
      </w:pPr>
      <w:r>
        <w:rPr>
          <w:b/>
        </w:rPr>
        <w:t xml:space="preserve">Điều 2. Sửa đổi, bổ sung khoản 2 Điều 2 của Quy định Tổ chức giải thưởng về chất lượng công trình xây dựng ban hành kèm theo Thông tư số </w:t>
      </w:r>
      <w:hyperlink r:id="rId6" w:history="1">
        <w:r>
          <w:rPr>
            <w:rStyle w:val="Hyperlink"/>
            <w:b/>
          </w:rPr>
          <w:t xml:space="preserve">12/2013/TT-BXD </w:t>
        </w:r>
      </w:hyperlink>
      <w:r>
        <w:rPr>
          <w:b/>
        </w:rPr>
        <w:t xml:space="preserve"> ngày 31 tháng 7 năm 2013, như sau:</w:t>
      </w:r>
    </w:p>
    <w:p>
      <w:pPr>
        <w:pStyle w:val="Normal(Web)"/>
        <w:divId w:val="256"/>
        <w:rPr>
          <w:vanish w:val="0"/>
        </w:rPr>
      </w:pPr>
      <w:r>
        <w:t xml:space="preserve">“2. Công trình đã được nghiệm thu hoàn thành, đưa vào sử dụng tối thiểu hết thời gian bảo hành đối với công trình tham dự Giải thưởng Quốc gia về chất lượng công trình xây dựng; công trình đã được nghiệm thu hoàn thành, đưa vào sử dụng đối với Giải thưởng Công trình chất lượng cao tính đến thời điểm đăng ký tham dự xét thưởng.”</w:t>
      </w:r>
    </w:p>
    <w:p>
      <w:pPr>
        <w:pStyle w:val="Normal(Web)"/>
        <w:divId w:val="257"/>
        <w:rPr>
          <w:vanish w:val="0"/>
        </w:rPr>
      </w:pPr>
      <w:r>
        <w:rPr>
          <w:b/>
        </w:rPr>
        <w:t xml:space="preserve">Điều 3. Sửa đổi, bổ sung Thông tư số </w:t>
      </w:r>
      <w:hyperlink r:id="rId7" w:history="1">
        <w:r>
          <w:rPr>
            <w:rStyle w:val="Hyperlink"/>
            <w:b/>
          </w:rPr>
          <w:t xml:space="preserve">13/2013/TT-BXD </w:t>
        </w:r>
      </w:hyperlink>
      <w:r>
        <w:rPr>
          <w:b/>
        </w:rPr>
        <w:t xml:space="preserve"> ngày 15 tháng 8 năm 2013</w:t>
      </w:r>
    </w:p>
    <w:p>
      <w:pPr>
        <w:pStyle w:val="Normal(Web)"/>
        <w:divId w:val="258"/>
        <w:rPr>
          <w:vanish w:val="0"/>
        </w:rPr>
      </w:pPr>
      <w:r>
        <w:rPr>
          <w:b/>
        </w:rPr>
        <w:t xml:space="preserve">1. Sửa đổi điểm c khoản 2 Điều 4 như sau:</w:t>
      </w:r>
    </w:p>
    <w:p>
      <w:pPr>
        <w:pStyle w:val="Normal(Web)"/>
        <w:divId w:val="259"/>
        <w:rPr>
          <w:vanish w:val="0"/>
        </w:rPr>
      </w:pPr>
      <w:r>
        <w:t xml:space="preserve">“c) Sự hợp lý của thiết kế để đảm bảo tiết kiệm chi phí trong xây dựng công trình: kiểm tra sự phù hợp giữa khối lượng chủ yếu của dự toán với khối lượng thiết kế; </w:t>
      </w:r>
      <w:r>
        <w:t xml:space="preserve">kiểm tra</w:t>
      </w:r>
      <w:r>
        <w:t xml:space="preserve"> tính đúng đắn, hợp lý của việc áp dụng chế độ chính sách, vận dụng đơn giá xây dựng công trình, định mức xây dựng công trình, định mức tỷ lệ, dự toán chi phí tư vấn và các khoản mục chi phí khác, xác định giá trị dự toán công trình; đánh giá giải pháp thiết kế về tiết kiệm chi phí xây dựng.”</w:t>
      </w:r>
    </w:p>
    <w:p>
      <w:pPr>
        <w:pStyle w:val="Normal(Web)"/>
        <w:divId w:val="260"/>
        <w:rPr>
          <w:vanish w:val="0"/>
        </w:rPr>
      </w:pPr>
      <w:r>
        <w:t xml:space="preserve">2. Sửa đổi điểm a và điểm b khoản 4 Điều 5 như sau:</w:t>
      </w:r>
    </w:p>
    <w:p>
      <w:pPr>
        <w:pStyle w:val="Normal(Web)"/>
        <w:divId w:val="261"/>
        <w:rPr>
          <w:vanish w:val="0"/>
        </w:rPr>
      </w:pPr>
      <w:r>
        <w:t xml:space="preserve">“4. Cơ quan chuyên môn về xây dựng trực thuộc Bộ Công thương thẩm tra:</w:t>
      </w:r>
    </w:p>
    <w:p>
      <w:pPr>
        <w:pStyle w:val="Normal(Web)"/>
        <w:divId w:val="262"/>
        <w:rPr>
          <w:vanish w:val="0"/>
        </w:rPr>
      </w:pPr>
      <w:r>
        <w:t xml:space="preserve">a) Công trình cấp I trở lên không phân biệt nguồn vốn thuộc các loại: Đường dây tải điện và trạm biến áp, nhà máy thủy điện, nhà máy nhiệt điện, nhà máy luyện kim, nhà máy sản xuất Alumin, nhà máy lọc hóa dầu, chế biến khí, các công trình nhà kho và tuyến đường ống (dẫn xăng, dầu, khí hóa lỏng), nhà máy sản xuất và kho chứa hóa chất nguy hiểm, nhà máy sản xuất và kho chứa vật liệu nổ công nghiệp;</w:t>
      </w:r>
    </w:p>
    <w:p>
      <w:pPr>
        <w:pStyle w:val="Normal(Web)"/>
        <w:divId w:val="263"/>
        <w:rPr>
          <w:vanish w:val="0"/>
        </w:rPr>
      </w:pPr>
      <w:r>
        <w:t xml:space="preserve">b) Công trình cấp II, cấp III thuộc các loại: Đường dây tải điện và trạm biến áp, nhà máy thủy điện, nhà máy nhiệt điện, nhà máy luyện kim, nhà máy sản xuất Alumin trong dự án đầu tư xây dựng do Bộ trưởng Bộ Công thương quyết định đầu tư;”</w:t>
      </w:r>
    </w:p>
    <w:p>
      <w:pPr>
        <w:pStyle w:val="Normal(Web)"/>
        <w:divId w:val="264"/>
        <w:rPr>
          <w:vanish w:val="0"/>
        </w:rPr>
      </w:pPr>
      <w:r>
        <w:t xml:space="preserve">3. Sửa đổi điểm d khoản 7 Điều 5 như sau:</w:t>
      </w:r>
    </w:p>
    <w:p>
      <w:pPr>
        <w:pStyle w:val="Normal(Web)"/>
        <w:divId w:val="265"/>
        <w:rPr>
          <w:vanish w:val="0"/>
        </w:rPr>
      </w:pPr>
      <w:r>
        <w:t xml:space="preserve">“d) Sở Công Thương:</w:t>
      </w:r>
    </w:p>
    <w:p>
      <w:pPr>
        <w:pStyle w:val="Normal(Web)"/>
        <w:divId w:val="266"/>
        <w:rPr>
          <w:vanish w:val="0"/>
        </w:rPr>
      </w:pPr>
      <w:r>
        <w:t xml:space="preserve">- Công trình cấp III, cấp II thuộc các loại: đường dây tải điện và trạm biến áp, nhà máy thủy điện, nhà máy nhiệt điện, nhà máy luyện kim, nhà máy sản xuất Alumin, trừ các công trình quy định tại điểm b khoản 4 Điều này.</w:t>
      </w:r>
    </w:p>
    <w:p>
      <w:pPr>
        <w:pStyle w:val="Normal(Web)"/>
        <w:divId w:val="267"/>
        <w:rPr>
          <w:vanish w:val="0"/>
        </w:rPr>
      </w:pPr>
      <w:r>
        <w:t xml:space="preserve">- Công trình cấp IV, cấp III, cấp II thuộc các loại: nhà máy lọc hóa dầu, chế biến khí, nhà kho và tuyến đường ống (dẫn xăng, dầu, khí hóa lỏng), nhà máy sản xuất và kho chứa hóa chất nguy hiểm, nhà máy sản xuất và kho chứa vật liệu nổ công nghiệp, trừ các công trình quy định tại điểm c khoản 4 Điều này.”</w:t>
      </w:r>
    </w:p>
    <w:p>
      <w:pPr>
        <w:pStyle w:val="Normal(Web)"/>
        <w:divId w:val="268"/>
        <w:rPr>
          <w:vanish w:val="0"/>
        </w:rPr>
      </w:pPr>
      <w:r>
        <w:t xml:space="preserve">4. Bổ sung khoản 9 Điều 5 như sau:</w:t>
      </w:r>
    </w:p>
    <w:p>
      <w:pPr>
        <w:pStyle w:val="Normal(Web)"/>
        <w:divId w:val="269"/>
        <w:rPr>
          <w:vanish w:val="0"/>
        </w:rPr>
      </w:pPr>
      <w:r>
        <w:t xml:space="preserve">“9. Căn cứ điều kiện thực tế của các địa phương, </w:t>
      </w:r>
      <w:r>
        <w:t xml:space="preserve">Ủy ban</w:t>
      </w:r>
      <w:r>
        <w:t xml:space="preserve"> nhân dân cấp tỉnh có thể ủy quyền thực hiện thẩm tra thiết kế đối với một số công trình cấp III, IV thuộc trách nhiệm thẩm tra của Sở Xây dựng, Sở quản lý công trình xây dựng chuyên ngành cho Ủy ban nhân dân cấp huyện, Ban quản lý các khu đô thị, Ban quản lý các khu công nghiệp thực hiện.”</w:t>
      </w:r>
    </w:p>
    <w:p>
      <w:pPr>
        <w:pStyle w:val="Normal(Web)"/>
        <w:divId w:val="270"/>
        <w:rPr>
          <w:vanish w:val="0"/>
        </w:rPr>
      </w:pPr>
      <w:r>
        <w:t xml:space="preserve">5. Bổ sung khoản 10 Điều 5 như sau:</w:t>
      </w:r>
    </w:p>
    <w:p>
      <w:pPr>
        <w:pStyle w:val="Normal(Web)"/>
        <w:divId w:val="271"/>
        <w:rPr>
          <w:vanish w:val="0"/>
        </w:rPr>
      </w:pPr>
      <w:r>
        <w:t xml:space="preserve">“10. Khi thẩm tra thiết kế các công trình đường bộ trong đô thị, căn cứ thẩm quyền tương ứng được quy định tại khoản 1, khoản 2, khoản 7 Điều này, cơ quan chuyên môn về xây dựng của Bộ Giao thông vận tải, Sở Giao thông vận tải có trách nhiệm lấy ý kiến của Cơ quan chuyên môn về xây dựng của Bộ Xây dựng, Sở Xây dựng về các hạng mục cây xanh, chiếu sáng, cấp nước, </w:t>
      </w:r>
      <w:r>
        <w:t xml:space="preserve">thoát</w:t>
      </w:r>
      <w:r>
        <w:t xml:space="preserve"> nước, tuynel kỹ thuật và hạng mục hạ tầng kỹ thuật đô thị khác (nếu có) để đảm bảo tính đồng bộ, nâng cao hiệu quả sử dụng, tiết kiệm chi phí, bảo đảm cảnh quan và môi trường.”</w:t>
      </w:r>
    </w:p>
    <w:p>
      <w:pPr>
        <w:pStyle w:val="Normal(Web)"/>
        <w:divId w:val="272"/>
        <w:rPr>
          <w:vanish w:val="0"/>
        </w:rPr>
      </w:pPr>
      <w:r>
        <w:t xml:space="preserve">6. Bổ sung khoản 11 vào Điều 5 như sau:</w:t>
      </w:r>
    </w:p>
    <w:p>
      <w:pPr>
        <w:pStyle w:val="Normal(Web)"/>
        <w:divId w:val="273"/>
        <w:rPr>
          <w:vanish w:val="0"/>
        </w:rPr>
      </w:pPr>
      <w:r>
        <w:t xml:space="preserve">“11. Trong thời hạn 7 ngày làm việc </w:t>
      </w:r>
      <w:r>
        <w:t xml:space="preserve">kể từ</w:t>
      </w:r>
      <w:r>
        <w:t xml:space="preserve"> ngày nhận đủ hồ sơ hợp lệ </w:t>
      </w:r>
      <w:r>
        <w:t xml:space="preserve">về</w:t>
      </w:r>
      <w:r>
        <w:t xml:space="preserve"> việc lấy ý kiến quy định tại khoản 10 Điều này, cơ quan chuyên môn về xây dựng trực thuộc Bộ Xây dựng, Sở Xây dựng có trách nhiệm tham gia ý kiến bằng văn bản gửi cơ quan chuyên môn về xây dựng của Bộ Giao thông vận tải, Sở Giao thông vận tải.</w:t>
      </w:r>
    </w:p>
    <w:p>
      <w:pPr>
        <w:pStyle w:val="Normal(Web)"/>
        <w:divId w:val="274"/>
        <w:rPr>
          <w:vanish w:val="0"/>
        </w:rPr>
      </w:pPr>
      <w:r>
        <w:t xml:space="preserve">Nếu quá thời hạn nêu trên mà cơ quan chuyên môn về xây dựng thuộc Bộ Xây dựng, Sở Xây dựng không có văn bản tham gia ý kiến thì cơ quan chuyên môn về xây dựng của Bộ Giao thông vận tải, Sở Giao thông vận tải có quyền thông báo kết quả thẩm tra đối với các công trình đường trong đô thị cho chủ đầu tư. Cơ quan chuyên môn về xây dựng trực thuộc Bộ Xây dựng, Sở Xây dựng chịu trách nhiệm về việc không có ý kiến của mình.”</w:t>
      </w:r>
    </w:p>
    <w:p>
      <w:pPr>
        <w:pStyle w:val="Normal(Web)"/>
        <w:divId w:val="275"/>
        <w:rPr>
          <w:vanish w:val="0"/>
        </w:rPr>
      </w:pPr>
      <w:r>
        <w:rPr>
          <w:b/>
        </w:rPr>
        <w:t xml:space="preserve">Điều 4. Quy định về chuyển tiếp</w:t>
      </w:r>
    </w:p>
    <w:p>
      <w:pPr>
        <w:pStyle w:val="Normal(Web)"/>
        <w:divId w:val="276"/>
        <w:rPr>
          <w:vanish w:val="0"/>
        </w:rPr>
      </w:pPr>
      <w:r>
        <w:t xml:space="preserve">1. Đối với các dự án đầu tư xây dựng công trình được quyết định đầu tư trước ngày Thông tư này có hiệu lực thi hành thì cấp công trình thuộc dự án được xác định theo Quyết định đầu tư;</w:t>
      </w:r>
    </w:p>
    <w:p>
      <w:pPr>
        <w:pStyle w:val="Normal(Web)"/>
        <w:divId w:val="277"/>
        <w:rPr>
          <w:vanish w:val="0"/>
        </w:rPr>
      </w:pPr>
      <w:r>
        <w:t xml:space="preserve">2. Đối với các dự án đầu tư xây dựng công trình được quyết định đầu tư sau ngày Thông tư này có hiệu lực thi hành thì cấp công trình thuộc dự án được xác định theo quy định của Thông tư này.</w:t>
      </w:r>
    </w:p>
    <w:p>
      <w:pPr>
        <w:pStyle w:val="Normal(Web)"/>
        <w:divId w:val="278"/>
        <w:rPr>
          <w:vanish w:val="0"/>
        </w:rPr>
      </w:pPr>
      <w:r>
        <w:rPr>
          <w:b/>
        </w:rPr>
        <w:t xml:space="preserve">Điều 5. Hiệu lực thi hành</w:t>
      </w:r>
    </w:p>
    <w:p>
      <w:pPr>
        <w:pStyle w:val="Normal(Web)"/>
        <w:divId w:val="279"/>
        <w:rPr>
          <w:vanish w:val="0"/>
        </w:rPr>
      </w:pPr>
      <w:r>
        <w:t xml:space="preserve">1. Thông tư này có hiệu lực thi hành kể từ ngày 1 tháng 9 năm 2014.</w:t>
      </w:r>
    </w:p>
    <w:p>
      <w:pPr>
        <w:pStyle w:val="Normal(Web)"/>
        <w:divId w:val="280"/>
        <w:rPr>
          <w:vanish w:val="0"/>
        </w:rPr>
      </w:pPr>
      <w:r>
        <w:t xml:space="preserve">2. Trong quá trình thực hiện nếu có vướng mắc, tổ chức, cá nhân gửi ý kiến về Bộ Xây dựng để xem xét,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81"/>
              <w:rPr>
                <w:vanish w:val="0"/>
              </w:rPr>
            </w:pPr>
            <w:r>
              <w:rPr>
                <w:b/>
                <w:i/>
              </w:rPr>
              <w:t xml:space="preserve">Nơi nhận:</w:t>
            </w:r>
            <w:r>
              <w:rPr>
                <w:b/>
                <w:i/>
              </w:rPr>
              <w:br/>
            </w:r>
            <w:r>
              <w:rPr>
                <w:b/>
                <w:i/>
              </w:rPr>
              <w:t xml:space="preserve"> </w:t>
            </w:r>
            <w:r>
              <w:t xml:space="preserve">- Thủ tướng Chính phủ (để báo cáo);</w:t>
            </w:r>
            <w:r>
              <w:rPr/>
              <w:br/>
            </w:r>
            <w:r>
              <w:t xml:space="preserve">- Các Phó Thủ tướng Chính phủ (để báo cáo);</w:t>
            </w:r>
            <w:r>
              <w:rPr/>
              <w:br/>
            </w:r>
            <w:r>
              <w:t xml:space="preserve">- Các Bộ, cơ quan ngang Bộ, cơ quan thuộc Chính phủ;</w:t>
            </w:r>
            <w:r>
              <w:rPr/>
              <w:br/>
            </w:r>
            <w:r>
              <w:t xml:space="preserve">- Văn phòng Quốc hội;</w:t>
            </w:r>
            <w:r>
              <w:rPr/>
              <w:br/>
            </w:r>
            <w:r>
              <w:t xml:space="preserve">- Văn phòng Chủ tịch nước;</w:t>
            </w:r>
            <w:r>
              <w:rPr/>
              <w:br/>
            </w:r>
            <w:r>
              <w:t xml:space="preserve">- Văn phòng Trung ương Đảng và các Ban của Đảng;</w:t>
            </w:r>
            <w:r>
              <w:rPr/>
              <w:br/>
            </w:r>
            <w:r>
              <w:t xml:space="preserve">- Tòa án nhân dân tối cao;</w:t>
            </w:r>
            <w:r>
              <w:rPr/>
              <w:br/>
            </w:r>
            <w:r>
              <w:t xml:space="preserve">- Viện Kiểm sát nhân dân tối cao;</w:t>
            </w:r>
            <w:r>
              <w:rPr/>
              <w:br/>
            </w:r>
            <w:r>
              <w:t xml:space="preserve">- Kiểm toán nhà nước;</w:t>
            </w:r>
            <w:r>
              <w:rPr/>
              <w:br/>
            </w:r>
            <w:r>
              <w:t xml:space="preserve">- Cơ quan Trung ương của các đoàn thể;</w:t>
            </w:r>
            <w:r>
              <w:rPr/>
              <w:br/>
            </w:r>
            <w:r>
              <w:t xml:space="preserve">- HĐND, UBND các tỉnh, thành phố trực thuộc Trung ương;</w:t>
            </w:r>
            <w:r>
              <w:rPr/>
              <w:br/>
            </w:r>
            <w:r>
              <w:t xml:space="preserve">- Website của Chính phủ;</w:t>
            </w:r>
            <w:r>
              <w:rPr/>
              <w:br/>
            </w:r>
            <w:r>
              <w:t xml:space="preserve">- Công báo (02 bản);</w:t>
            </w:r>
            <w:r>
              <w:rPr/>
              <w:br/>
            </w:r>
            <w:r>
              <w:t xml:space="preserve">- Các </w:t>
            </w:r>
            <w:r>
              <w:t xml:space="preserve">đơn vị</w:t>
            </w:r>
            <w:r>
              <w:t xml:space="preserve"> thuộc Bộ Xây dựng;</w:t>
            </w:r>
            <w:r>
              <w:rPr/>
              <w:br/>
            </w:r>
            <w:r>
              <w:t xml:space="preserve">- Cục Kiểm tra văn bản quy phạm pháp luật - Bộ Tư pháp;</w:t>
            </w:r>
            <w:r>
              <w:rPr/>
              <w:br/>
            </w:r>
            <w:r>
              <w:t xml:space="preserve">- Sở Xây dựng các tỉnh, thành phố trực thuộc Trung ương;</w:t>
            </w:r>
            <w:r>
              <w:rPr/>
              <w:br/>
            </w:r>
            <w:r>
              <w:t xml:space="preserve">- Cổng Thông tin điện tử của Bộ Xây dựng;</w:t>
            </w:r>
            <w:r>
              <w:rPr/>
              <w:br/>
            </w:r>
            <w:r>
              <w:t xml:space="preserve">- Lưu: VT, Vụ PC, Cục HĐXD, Cục GĐ (15b).</w:t>
            </w:r>
          </w:p>
        </w:tc>
        <w:tc>
          <w:tcPr>
            <w:tcW w:w="0" w:type="auto"/>
            <w:shd w:val="clear" w:color="auto" w:fill="auto"/>
            <w:vAlign w:val="center"/>
          </w:tcPr>
          <w:p>
            <w:pPr>
              <w:pStyle w:val="Normal(Web)"/>
              <w:divId w:val="282"/>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Cao Lại Quang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9-2014-tt-bxd-cua-bo-xay-dung---sua-doi--bo-sung-mot-so-dieu-tai-cac-thong-tu-huong-dan-nghi-dinh-so-15-2013-nd-cp-ngay-06-thang-02-nam-2013-cua-chinh-phu-ve-quan-ly-chat-luong-cong-trinh.aspx" TargetMode="External" /><Relationship Id="rId4" Type="http://schemas.openxmlformats.org/officeDocument/2006/relationships/hyperlink" Target="/nghi-dinh-15-2013-nd-cp-quan-ly-chat-luong-cong-trinh-xay-dung.aspx" TargetMode="External" /><Relationship Id="rId5" Type="http://schemas.openxmlformats.org/officeDocument/2006/relationships/hyperlink" Target="/thong-tu-so-10-2013-tt-bxd-cua-bo-xay-dung---quy-dinh-chi-tiet-mot-so-noi-dung-ve-quan-ly-chat-luong-cong-trinh-xay-dung.aspx" TargetMode="External" /><Relationship Id="rId6" Type="http://schemas.openxmlformats.org/officeDocument/2006/relationships/hyperlink" Target="/thong-tu-so-12-2013-tt-bxd-cua-bo-xay-dung---ban-hanh-quy-dinh-to-chuc-giai-thuong-ve-chat-luong-cong-trinh-xay-dung.aspx" TargetMode="External" /><Relationship Id="rId7" Type="http://schemas.openxmlformats.org/officeDocument/2006/relationships/hyperlink" Target="/thong-tu-13-2013-tt-bxd-tham-tra-tham-dinh-phe-duyet-thiet-ke-xay-dung-cong-trinh.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2022-06-21T17:24:05Z</dcterms:created>
  <dcterms:modified xsi:type="dcterms:W3CDTF">2022-06-21T17:24:05Z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2022-06-21T17:24:05Z</dcterms:created>
  <dcterms:modified xsi:type="dcterms:W3CDTF">2022-06-21T17:24:05Z</dcterms:modified>
</cp:coreProperties>
</file>