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spacing w:beforeAutospacing="1" w:afterAutospacing="1"/>
              <w:jc w:val="center"/>
              <w:rPr>
                <w:vanish w:val="0"/>
              </w:rPr>
            </w:pPr>
            <w:r>
              <w:rPr>
                <w:b/>
                <w:i w:val="0"/>
                <w:sz w:val="30"/>
              </w:rPr>
              <w:t xml:space="preserve">ỦY BAN NHÂN DÂN </w:t>
            </w:r>
            <w:r>
              <w:rPr>
                <w:b/>
                <w:i w:val="0"/>
                <w:sz w:val="30"/>
              </w:rPr>
              <w:br/>
            </w:r>
            <w:r>
              <w:rPr>
                <w:b/>
                <w:i w:val="0"/>
                <w:sz w:val="30"/>
              </w:rPr>
              <w:t xml:space="preserve">THÀNH PHỐ HỒ CHÍ MINH</w:t>
            </w:r>
            <w:r>
              <w:rPr>
                <w:b/>
                <w:i w:val="0"/>
                <w:sz w:val="30"/>
              </w:rPr>
              <w:br/>
            </w:r>
            <w:r>
              <w:rPr>
                <w:b/>
                <w:i w:val="0"/>
                <w:sz w:val="30"/>
              </w:rPr>
              <w:t xml:space="preserve">*****</w:t>
            </w:r>
          </w:p>
        </w:tc>
        <w:tc>
          <w:tcPr>
            <w:tcW w:w="0" w:type="auto"/>
            <w:shd w:val="clear" w:color="auto" w:fill="auto"/>
            <w:vAlign w:val="center"/>
          </w:tcPr>
          <w:p>
            <w:pPr>
              <w:pStyle w:val="Normal(Web)"/>
              <w:spacing w:beforeAutospacing="1" w:afterAutospacing="1"/>
              <w:jc w:val="center"/>
              <w:rPr>
                <w:vanish w:val="0"/>
              </w:rPr>
            </w:pPr>
            <w:r>
              <w:rPr>
                <w:b/>
                <w:i w:val="0"/>
                <w:sz w:val="30"/>
              </w:rPr>
              <w:t xml:space="preserve">CỘNG HÒA XÃ HỘI CHỦ NGHĨA VIỆT NAM</w:t>
            </w:r>
            <w:r>
              <w:rPr>
                <w:b/>
                <w:i w:val="0"/>
                <w:sz w:val="30"/>
              </w:rPr>
              <w:br/>
            </w:r>
            <w:r>
              <w:rPr>
                <w:b/>
                <w:i w:val="0"/>
                <w:sz w:val="30"/>
              </w:rPr>
              <w:t xml:space="preserve">Độc lập - Tự do - Hạnh phúc </w:t>
            </w:r>
            <w:r>
              <w:rPr>
                <w:b/>
                <w:i w:val="0"/>
                <w:sz w:val="30"/>
              </w:rPr>
              <w:br/>
            </w:r>
            <w:r>
              <w:rPr>
                <w:b/>
                <w:i w:val="0"/>
                <w:sz w:val="30"/>
              </w:rPr>
              <w:t xml:space="preserve">*****</w:t>
            </w:r>
          </w:p>
        </w:tc>
      </w:tr>
      <w:tr>
        <w:trPr>
          <w:jc w:val="left"/>
        </w:trPr>
        <w:tc>
          <w:tcPr>
            <w:tcW w:w="0" w:type="auto"/>
            <w:shd w:val="clear" w:color="auto" w:fill="auto"/>
            <w:vAlign w:val="center"/>
          </w:tcPr>
          <w:p>
            <w:pPr>
              <w:pStyle w:val="Normal(Web)"/>
              <w:spacing w:beforeAutospacing="1" w:afterAutospacing="1"/>
              <w:jc w:val="center"/>
              <w:rPr>
                <w:vanish w:val="0"/>
              </w:rPr>
            </w:pPr>
            <w:r>
              <w:rPr>
                <w:b/>
                <w:i w:val="0"/>
                <w:sz w:val="30"/>
              </w:rPr>
              <w:t xml:space="preserve">Số : 94/2006/QĐ-UBND </w:t>
            </w:r>
          </w:p>
        </w:tc>
        <w:tc>
          <w:tcPr>
            <w:tcW w:w="0" w:type="auto"/>
            <w:shd w:val="clear" w:color="auto" w:fill="auto"/>
            <w:vAlign w:val="center"/>
          </w:tcPr>
          <w:p>
            <w:pPr>
              <w:pStyle w:val="Normal(Web)"/>
              <w:spacing w:beforeAutospacing="1" w:afterAutospacing="1"/>
              <w:jc w:val="right"/>
              <w:rPr>
                <w:vanish w:val="0"/>
              </w:rPr>
            </w:pPr>
            <w:r>
              <w:rPr>
                <w:b/>
                <w:i/>
                <w:sz w:val="30"/>
              </w:rPr>
              <w:t xml:space="preserve">TP. Hồ Chí Minh, ngày 06 tháng 7 năm 2006</w:t>
            </w:r>
          </w:p>
        </w:tc>
      </w:tr>
    </w:tbl>
    <w:p>
      <w:pPr>
        <w:pStyle w:val="Heading3"/>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3"/>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Heading3"/>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ĐỔI TÊN TRUNG TÂM THU HỒI VÀ KHAI THÁC QUỸ ĐẤTPHỤC VỤ ĐẦU TƯ THÀNH TRUNG TÂM PHÁT TRIỂN QUỸ ĐẤT VÀ BAN HÀNH QUY CHẾ TỔ CHỨCHOẠT ĐỘNG CỦA TRUNG TÂM PHÁT TRIỂN QUỸ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r>
        <w:rPr>
          <w:i/>
        </w:rPr>
        <w:br/>
      </w:r>
      <w:r>
        <w:rPr>
          <w:i/>
        </w:rPr>
        <w:t xml:space="preserve">Căn cứ Nghị định số </w:t>
      </w:r>
      <w:hyperlink r:id="rId3" w:history="1">
        <w:r>
          <w:rPr>
            <w:rStyle w:val="Hyperlink"/>
            <w:i/>
          </w:rPr>
          <w:t xml:space="preserve">93/2001/NĐ-CP </w:t>
        </w:r>
      </w:hyperlink>
      <w:r>
        <w:rPr>
          <w:i/>
        </w:rPr>
        <w:t xml:space="preserve"> ngày 12 tháng12 năm 2001 của Chính phủ về phân cấp một số lĩnh vực cho thành phố Hồ ChíMinh;</w:t>
      </w:r>
      <w:r>
        <w:rPr>
          <w:i/>
        </w:rPr>
        <w:br/>
      </w:r>
      <w:r>
        <w:rPr>
          <w:i/>
        </w:rPr>
        <w:t xml:space="preserve">Căn cứ Luật Đất đai ngày 26 tháng 11 năm 2003; Nghị định số 181/2004/NĐ-CP ngày 29 tháng 10 năm 2004 của Chính phủ về thi hành Luật đất đai; Thông tư liêntịch số 38/2004/TTLT /BTNMT-BNV ngày 31 tháng 12 năm 2004 của Liên Bộ Tài nguyênvà Môi trường và Bộ Nội vụ hướng dẫn chức năng, nhiệm vụ, quyền hạn và tổ chứccủa Văn phòng đăng ký quyền sử dụng đất và Tổ chức phát triển quỹ đất;</w:t>
      </w:r>
      <w:r>
        <w:rPr>
          <w:i/>
        </w:rPr>
        <w:br/>
      </w:r>
      <w:r>
        <w:rPr>
          <w:i/>
        </w:rPr>
        <w:t xml:space="preserve">Xét đề nghị của Giám đốc Sở Tài nguyên và Môitrường tại Công văn số 1558/TNMT-VP ngày 02 tháng 3 năm 2006 và của Giám đốc SởNội vụ tại Tờ trình số 155/TTr-SNV ngày 21 tháng 3 năm 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Đổi tên Trung tâmThu hồi và Khai thác quỹ đất phục vụ đầu tư (thành lập theo Quyết định số 110/2003/QĐ-UB ngày 03 tháng 7 năm 2003 của Ủy ban nhân dân thành phố) thànhTrung tâm Phát triển quỹ đất trực thuộc Sở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Phát triển quỹ đất làđơn vị sự nghiệp có thu, tự đảm bảo một phần chi phí hoạt động, có tư cách phápnhân, có con dấu riêng, được cấp vốn và kinh phí, được mở tài khoản tại Ngânhàng và Kho bạc Nhà nước để hoạt động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Trung tâm Pháttriển quỹ đất có chức năng tổ chức thực hiện việc bồi thường, hỗ trợ và táiđịnh cư đối với các trường hợp Nhà nước thu hồi đất sau khi quy hoạch, kế hoạchsử dụng đất được xét duyệt và quản lý quỹ đất thuộc khu vực đô thị và khu vựcđã có quy hoạch phát triển đô thị mà Nhà nước đã thu hồi nhưng chưa giao, chưacho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Phát triển quỹ đấtđược tổ chức và hoạt động theo Quy chế do Ủy ban nhân dân thành phố ban hànhkèm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cóhiệu lực sau 10 ngày kể từ ngày ký ban hành. Bãi bỏ Quyết định số110/2003/QĐ-UB ngày 03 tháng 7 năm 2003 của Ủy ban nhân dân thành phố về thànhlập Trung tâm thu hồi và Khai thác quỹ đất phục vụ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Chánh Văn phòngHội đồng nhân dân và Ủy ban nhân dân thành phố, Giám đốc Sở Nội vụ, Giám đốc SởTài nguyên và Môi trường, Giám đốc Sở Tài chính, Giám đốc Sở Kế hoạch và Đầutư, Giám đốc Sở Quy hoạch - Kiến trúc, Thủ trưởng các sở - ngành có liên quan,Chủ tịch Ủy ban nhân dân các quận - huyện và Giám đốc Trung tâm Phát triển quỹđất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 </w:t>
            </w:r>
            <w:r>
              <w:rPr>
                <w:b/>
                <w:i/>
              </w:rPr>
              <w:br/>
            </w:r>
            <w:r>
              <w:rPr>
                <w:b/>
                <w:i/>
              </w:rPr>
              <w:t xml:space="preserve"> </w:t>
            </w:r>
            <w:r>
              <w:t xml:space="preserve">- Như điều 4; </w:t>
            </w:r>
            <w:r>
              <w:rPr/>
              <w:br/>
            </w:r>
            <w:r>
              <w:t xml:space="preserve">- Cục kiểm tra văn bản (Bộ Tư pháp);</w:t>
            </w:r>
            <w:r>
              <w:rPr/>
              <w:br/>
            </w:r>
            <w:r>
              <w:t xml:space="preserve">- </w:t>
            </w:r>
            <w:r>
              <w:t xml:space="preserve">Thường trực Thành ủy;</w:t>
            </w:r>
            <w:r>
              <w:rPr/>
              <w:br/>
            </w:r>
            <w:r>
              <w:t xml:space="preserve">- Thường trực Hội đồng nhân dân thành phố;</w:t>
            </w:r>
            <w:r>
              <w:rPr/>
              <w:br/>
            </w:r>
            <w:r>
              <w:t xml:space="preserve">- Ủy ban nhân dân thành phố;</w:t>
            </w:r>
            <w:r>
              <w:rPr/>
              <w:br/>
            </w:r>
            <w:r>
              <w:t xml:space="preserve">- Công an thành phố (PC13);</w:t>
            </w:r>
            <w:r>
              <w:rPr/>
              <w:br/>
            </w:r>
            <w:r>
              <w:t xml:space="preserve">- Kho bạc Nhà nước thành phố;</w:t>
            </w:r>
            <w:r>
              <w:rPr/>
              <w:br/>
            </w:r>
            <w:r>
              <w:t xml:space="preserve">- Sở Nội vụ (2b);</w:t>
            </w:r>
            <w:r>
              <w:rPr/>
              <w:br/>
            </w:r>
            <w:r>
              <w:t xml:space="preserve">- VP Đoàn đại biểu Quốc hội thành phố;</w:t>
            </w:r>
            <w:r>
              <w:rPr/>
              <w:br/>
            </w:r>
            <w:r>
              <w:t xml:space="preserve">- VPHĐ-UB: Các PVP; </w:t>
            </w:r>
            <w:r>
              <w:rPr/>
              <w:br/>
            </w:r>
            <w:r>
              <w:t xml:space="preserve">- Tổ VX, ĐT, TM;</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 </w:t>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Nguyễn Văn Đua</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VÀ HOẠT ĐỘNG CỦA TRUNG TÂM PHÁT TRIỂN QUỸ ĐẤT</w:t>
      </w:r>
      <w:r>
        <w:rPr/>
        <w:br/>
      </w:r>
      <w:r>
        <w:rPr>
          <w:i/>
        </w:rPr>
        <w:t xml:space="preserve">(kèm theo quyết định số: 94/2006/qđ-ubnd ngày 06/7/2006 của ủy ban nhân dânthành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pháp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Phát triển quỹ đất(sau đây gọi tắt là Trung tâm) là đơn vị trực thuộc Sở Tài nguyên và Môitrường. Trung tâm Phát triển quỹ đất là đơn vị sự nghiệp có thu, tự đảm bảo mộtphần chi phí hoạt động, có tư cách pháp nhân, có con dấu riêng, được cấp vốn vàkinh phí, được mở tài khoản tại Ngân hàng Kho bạc Nhà nước để hoạt động theoquy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Chức năng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Phát triển quỹ đấtcó chức năng tổ chức thực hiện việc bồi thường, hỗ trợ và tái định cư đối vớicác trường hợp nhà nước thu hồi đất sau khi quy hoạch, kế hoạch sử dụng đấtđược xét duyệt và quản lý quỹ đất thuộc khu vực đô thị và khu vực đã có quyhoạch phát triển đô thị mà Nhà nước đã thu hồi nhưng chưa giao, chưa cho 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Về tạo quỹ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tâm phối hợp Ủy bannhân dân quận - huyện, tổ chức thực hiện việc bồi thường, hỗ trợ và tái định cưđể giải phóng mặt bằng theo quyết định thu hồi của Ủy ban nhân dân thành phốđối với các khu đất đã có quy hoạch, kế hoạch sử dụng đất được duyệt mà chức cócông trình, dự án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Nhận chuyển nhượng quyền sửdụng đất trong khu vực có quy hoạch phải thu hồi mà người sử dụng đất có nhucầu chuyển đi nơi khác và tự nguyện chuyển nhượng trước khi Nhà nước có quyếtđịnh thu hồi.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Về quản lý quỹ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tổ chức quản lý quỹđất đã có quyết định thu hồi của Ủy ban nhân dân thành phố trên địa bàn thànhphố Hồ Chí Minh đối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Quỹ đất được thu hồi tạiĐiểm a Khoản 1 Điều 3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Quỹ đất do Nhà nước thu hồitrong trường hợp quy định tại các Khoản 2, 3, 4, 5, 6, 7, 8, 9, 10, 11 và 12Điều 38 Luật Đất đai 2003 thuộc khu vực đô thị và khu vực đã có quy hoạch pháttriển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Quỹ đất do chủ đầu tư bàngiao cho nhà nước sau khi được giao đất đẻ làm dự án đầu tư xây dựng kinh doanhnhà ở có nghĩa vụ chuyển nhượng theo chỉ đạo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Về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tâm thực hiện việcđầu tư các dự án tái định cư do Ủy ban nhân dân thành phố giao để phục vụ giảiphóng mặt bằng các khu đất có quyết định thu hồi giao cho Trung tâm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Giới thiệu địa điểm đầu tư,vận động đầu tư vào các khu đất được giao quản lý theo đúng quy hoạch, kế hoạchsử dụng đất đã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Bàn giao đất đang quản lýtheo quyết định của Ủy ban nhân dân thành phố và theo đúng trình tự, thủ tụcquy định cho người được giao đất, cho thuê đất hoặc trúng đấu giá quyền sử dụngđất.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công tác điềutra, khảo sát, đo đạc, lập quy hoạch, kế hoạch và nghiệm thu, thanh quyết toántheo đúng các trình tự, thủ tục về đầu tư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Các nhiệm vụ khác củaTrung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quỹ đất được giaoquản lý làm quỹ đất dự trữ để điều tiết các nhu cầu về đất đai theo Quyết địnhcủa Ủy ban nhân dân thành phố phù hợp với quy hoạch, kế hoạch sử dụng đất đãđược xét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đấu giá quyền sửdụng đất theo quyết định của Ủy ban nhân dân thành phố đối với đất được giaoquản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Ủy ban nhân dânthành phố và Sở Tài nguyên và Môi trường theo đúng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sử dụng viên chức,người lao động, tài chính và tài sản của Trung tâm theo đúng quy định của phápluật.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các sở - ngànhtrực thuộc Ủy ban nhân dân thành phố và Ủy ban nhân dân các quận - huyện để tổchức việc thu hồi các khu đất theo đúng trình tự, thủ tục quy định của Luật Đấtđai năm 2003 và Nghị định số </w:t>
      </w:r>
      <w:hyperlink r:id="rId4" w:history="1">
        <w:r>
          <w:rPr>
            <w:rStyle w:val="Hyperlink"/>
          </w:rPr>
          <w:t xml:space="preserve">181/2004/NĐ-CP </w:t>
        </w:r>
      </w:hyperlink>
      <w:r>
        <w:t xml:space="preserve"> ngày 29 tháng 10 năm 2004 của Chínhphủ về thi hành Luật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Văn phòng Đăng kýquyền sử dụng đất thành phố (Trung tâm thông tin Tài nguyên – Môi trường vàĐăng ký nhà đất) và Văn phòng Đăng ký quyền sử dụng đất (Phòng Tài nguyên Môitrường) quận - huyện cung cấp trích lục bản đồ địa chính mới nhất đã được pháplý hóa (hoặc trích đo địa chính khu vực đối với nơi chưa có bản đồ địa chính,lập bản đồ trích đo ranh bao đối với khu đất không nằm trọn thửa đất trên bảnđồ địa chính do đơn vị có chức năng thực hiện) và trích sao hồ sơ địa chính khuđất có quyết định thu hồi để lập phương án bồi thường, hỗ trợ, tái định cư vàgiải phóng mặt 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Ký kết các hợp đồng điềutra, khảo sát, đo đạc, cắm mốc địa chính và các công việc có liên quan theo quyđịnh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đấu thầu, ký kếtcác hợp đồng kinh tế, hợp đồng mua sắm và hợp đồng khác có liên quan theo đúngđịnh mức, đơn giá, trình tự và thủ tục nghiệm thu, thanh quyết toán của Nhànước và nguồn kinh phí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Trung tâm đượctổ chức, hoạt động theo chế độ Thủ trưởng. Giám đốc Trung tâm chịu trách nhiệmđiều hành và quyết định mọi hoạt động của đơn vị, đồng thời chịu trách nhiệmtrước Giám đốc Sở Tài nguyên và Môi trường về toàn bộ hoạt động của Trung tâm.Trung tâm có từ 01 đến 03 Phó Giám đốc giúp việc cho Giám đốc Trung tâm. CácPhó Giám đốc thực hiện nhiệm vụ theo sự phân công của Giám đốc và chịu tráchnhiệm trước Giám đốc Trung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và các Phó Giám đốcTrung tâm do Chủ tịch Ủy ban nhân dân thành phố bổ nhiệm, miễn nhiệm theo đềnghị của Giám đốc Sở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w:t>
      </w:r>
      <w:r>
        <w:t xml:space="preserve">Cơ cấu tổ chứcbộ máy của Trung tâm Phát triển quỹ đất do Giám đốc Sở Tài nguyên và Môi trườngquyết định theo đề nghị của Giám đốc Trung tâm trên cơ sở bộ máy tinh gọn, hoạtđộng có hiệu quả, phù hợp với chức năng, nhiệm vụ và quyền hạn của Trungtâm Phát triển quỹ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Biên chế củaTrung tâm do Giám đốc Sở Tài nguyên và Môi trường quyết định phân bổ trong tổngsố chỉ tiêu biên chế sự nghiệp hàng năm của Sở Tài nguyên và Môi trường được Ủyban nhân dân thành phố giao hàng năm. Ngoài số lượng trên, Trung tâm được tuyểndụng, bố trí và trả lương theo nguồn thu tự trang trải và phù hợp với yêu cầunhiệm vụ của Trung tâm trong từng giai đoạn.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quản lý, sử dụng côngchức, viên chức và hợp đồng lao động của Trung tâm được thực hiện theo quy địnhhiện hành của Nhà nước về phân công, phân cấp quản lý cán bộ công chức viênchức và quản lý người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MỐI QUAN 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Đối với Ủyban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có trách nhiệm thammưu cho Sở Tài nguyên và Môi trường để thực hiện nhiệm vụ, kế hoạch hàng năm vàđột xuất do Ủy ban nhân dân thành phố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Đối với Sở Tàinguyên và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chịu sự quản lýtrực tiếp và toàn diện của Giám đốc Sở Tài nguyên và Môi trường; đồng thời, tựchịu trách nhiệm về kết quả hoạt động của đơn vị theo quy định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có trách nhiệmbáo cáo Sở Tài nguyên và Môi trường về kế hoạch và kết quả hoạt động hàng quý,năm của Trung tâm; chủ động xây dựng kế hoạch và tổ chức triển khai thực hiệncác nhiệm vụ theo chương trình, kế hoạch được giao; tham dự các cuộc họp do SởTài nguyên và Môi trường triệu tập; thực hiện các quyết định và sự chỉ đạo củaGiám đốc Sở Tài nguyên và Môi trường về các lĩnh vực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có mối quan hệchặt chẽ với các phòng, ban và đơn vị trực thuộc Sở trên tinh thần hợp tác cùngchịu trách nhiệm để cùng nhau hoàn thành nhiệm vụ được giao; phối hợp trongviệc cung cấp thông tin, các nội dung có liên quan và hỗ trợ nghiệp vụ cho nhautheo yêu cầu giải quyết nhiệm vụ của Trung tâm và nhiệm vụ của các phòng, ban,đơn vị trực thuộc Sở báo cáo những vấn đề, những vướng mắc hoặc đề xuất cáckiến nghị để Giám đốc Sở Tài nguyên và Môi trường xem xét,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Đối với các sở -ngành thành phố có liên quan và Ủy ban nhân dân các quận - huyện, phường – xã,thị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Quy hoạch - Kiếntrúc, Sở Tài chính, Sở Xây dựng, Sở Kế hoạch và Đầu tư, Sở Giao thông – Côngchính, Ban Quản lý đầu tư xây dựng các Khu đô thị mới, Ban Quản lý Khu chếxuất, công nghiệp thành phố, Trung tâm Xúc tiến thương mại và Đầu tư thành phốvà Ủy ban nhân dân quận - huyện quan tâm chỉ đạo các đơn vị trực thuộc phối hợpchặt chẽ với Trung tâm phát triển quỹ đất nhằm đảm bảo tiến độ triển khai côngtác bồi thường, hỗ trợ, tái định cư, giải phóng mặt bằng để thu hồi và đưa vàokhai thác có hiệu quả quỹ đất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quận -huyện, phường – xã, thị trấn có trách nhiệm chỉ đạo các Phòng, Ban, đơn vị vàcán bộ có trách nhiệm phối hợp và tạo điều kiện để Trung tâm triển khai tốtcông tác điều tra, khảo sát, thu thập tư liệu, xúc tiến thủ tục thu hồi, giaođất và tổ chức quản lý quỹ đất, thường xuyên kiểm tra, chống lấn, chiếm các khuđất đã thu hồi.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chế này,Giám đốc Sở Tài nguyên và Môi trường chịu trách nhiệm chỉ đạo triển khai thựchiện việc bố trí, sắp xếp tổ chức bộ máy và cán bộ Trung tâm Phát triển quỹ đấtnhằm phát huy tốt hiệu quả, hiệu lực quản lý đồng thời giao Giám đốc Trung tâmchịu trách nhiệm xây dựng quy định làm việc cụ thể để trình Giám đốc Sở Tàinguyên và Môi trường phê duyệt và đưa vào áp dụng tại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được Ủy bannhân dân thành phố bổ sung, sửa đổi, điều chỉnh khi cần thiết, theo đề nghị củaGiám đốc Sở Tài nguyên và Môi trường và Giám đốc Sở Nội vụ./.</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3-2001-nd-cp-quy-dinh-phan-cap-quan-ly-mot-so-linh-vuc-cho-thanh-pho-ho-chi-minh.aspx" TargetMode="External" /><Relationship Id="rId4" Type="http://schemas.openxmlformats.org/officeDocument/2006/relationships/hyperlink" Target="/nghi-dinh-so-181-2004-nd-cp-huong-dan-thi-hanh-luat-dat-da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2022-06-20T19:08:36Z</dcterms:created>
  <dcterms:modified xsi:type="dcterms:W3CDTF">2022-06-20T19:08:36Z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2022-06-20T19:08:36Z</dcterms:created>
  <dcterms:modified xsi:type="dcterms:W3CDTF">2022-06-20T19:08:36Z</dcterms:modified>
</cp:coreProperties>
</file>