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011" o:spid="_x0000_i2012" type="#_x0000_t75" style="height:297.75pt;width:306.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8" w:history="1">
        <w:r>
          <w:rPr>
            <w:rStyle w:val="Hyperlink"/>
            <w:b/>
          </w:rPr>
          <w:t xml:space="preserve">75/2002/NĐ-CP </w:t>
        </w:r>
        <w:r>
          <w:rPr>
            <w:b/>
          </w:rPr>
          <w:t xml:space="preserve"> NGÀY 30 THÁNG 8 NĂM 2002</w:t>
        </w:r>
        <w:r>
          <w:rPr>
            <w:b/>
          </w:rPr>
          <w:br/>
        </w:r>
        <w:r>
          <w:rPr>
            <w:b/>
          </w:rPr>
          <w:t xml:space="preserve">VỀ VIỆC ĐIỀU CHỈNH MỨC THUẾ MÔN BÀI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Điều lệ thuế công thương nghiệp ban hành kèm theo Quyết định số </w:t>
      </w:r>
      <w:hyperlink r:id="rId9" w:history="1">
        <w:r>
          <w:rPr>
            <w:rStyle w:val="Hyperlink"/>
            <w:i/>
          </w:rPr>
          <w:t xml:space="preserve">200/NQ-TVQH </w:t>
        </w:r>
        <w:r>
          <w:rPr>
            <w:i/>
          </w:rPr>
          <w:t xml:space="preserve"> ngày 18 tháng 01 năm 1966 của ủy ban Thường vụ Quốc hội; Pháp lệnh ngày 03 tháng 3 năm 1989 của Hội đồng Nhà nước sửa đổi, bổ sung một số điều trong các Pháp lệnh, Điều lệ về thuế công nghiệp và thuế hàng hoá; Nghị quyết số 473/NQ-HĐNN ngày 10 tháng 9 năm 1991 của Hội đồng Nhà nước về thuế môn bài và thuế sát sinh;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mức trượt giá từ năm 1996 đến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Từ năm 2003 thuế môn bài áp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kinh doanh nộp thuế môn bài theo 4 mức: 3.000.000 đồng, 2.000.000 đồng, 1.500.000 đồng, 1.000.000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cá thể kinh doanh nộp thuế môn bài theo 6 mức: 1.000.000 đồng, 750.000 đồng, 500.000 đồng, 300.000 đồng, 100.000 đồng, 50.000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cụ thể căn cứ tính thuế môn bài áp dụng cho các tổ chức kinh doanh và hộ cá thể kinh doanh theo các mức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Nghị định này có hiệu lực thi hành từ ngày 01 tháng 01 năm 2003, thay thế các mức thuế môn bài quy định tại Nghị định số 52/CP ngày 09 tháng 9 năm 1996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Các Bộ trưởng, Thủ trưởng cơ quan ngang Bộ, Thủ trưởng cơ quan thuộc Chính phủ, Chủ tịch Uỷ ban nhân dân tỉnh, thành phố trực thuộc Trung ương chịu trách nhiệm thi hành Nghị định này.</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luat-su-tu-van-phap-luat-thue-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75-2002-nd-cp-cua-chinh-phu-ve-viec-dieu-chinh-muc-thue-mon-bai.aspx" TargetMode="External" /><Relationship Id="rId9" Type="http://schemas.openxmlformats.org/officeDocument/2006/relationships/hyperlink" Target="/nghi-dinh-52-c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2022-06-22T15:15:00Z</dcterms:created>
  <dcterms:modified xsi:type="dcterms:W3CDTF">2022-06-22T15:15:00Z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2022-06-22T15:15:00Z</dcterms:created>
  <dcterms:modified xsi:type="dcterms:W3CDTF">2022-06-22T15:15:00Z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2022-06-22T15:15:00Z</dcterms:created>
  <dcterms:modified xsi:type="dcterms:W3CDTF">2022-06-22T15:15:00Z</dcterms:modified>
</cp:coreProperties>
</file>