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ỦY BAN NHÂN DÂN</w:t>
            </w:r>
            <w:r>
              <w:rPr>
                <w:b/>
              </w:rPr>
              <w:br/>
            </w:r>
            <w:r>
              <w:rPr>
                <w:b/>
              </w:rPr>
              <w:t xml:space="preserve">THÀNH PHỐ HÀ NỘI</w:t>
            </w:r>
            <w:r>
              <w:rPr>
                <w:b/>
              </w:rPr>
              <w:br/>
            </w:r>
            <w:r>
              <w:rPr>
                <w:b/>
              </w:rPr>
              <w:t xml:space="preserve">--------</w:t>
            </w:r>
          </w:p>
          <w:p>
            <w:pPr>
              <w:pStyle w:val="Normal(Web)"/>
              <w:divId w:val="2"/>
              <w:jc w:val="center"/>
              <w:rPr>
                <w:vanish w:val="0"/>
              </w:rPr>
            </w:pPr>
            <w:r>
              <w:t xml:space="preserve">Số: 4748/QĐ-UBND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09 tháng 08 năm 2013</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CÔNG BỐ BÃI BỎ THỦ TỤC HÀNH CHÍNH THUỘC THẨM QUYỀN GIẢI QUYẾT </w:t>
      </w:r>
    </w:p>
    <w:p>
      <w:pPr>
        <w:pStyle w:val="Normal(Web)"/>
        <w:divId w:val="7"/>
        <w:jc w:val="center"/>
        <w:rPr>
          <w:vanish w:val="0"/>
        </w:rPr>
      </w:pPr>
      <w:r>
        <w:rPr>
          <w:b/>
        </w:rPr>
        <w:t xml:space="preserve">CỦA SỞ CÔNG THƯƠNG THÀNH PHỐ HÀ NỘI</w:t>
      </w:r>
    </w:p>
    <w:p>
      <w:pPr>
        <w:pStyle w:val="Normal(Web)"/>
        <w:divId w:val="8"/>
        <w:jc w:val="center"/>
        <w:rPr>
          <w:vanish w:val="0"/>
        </w:rPr>
      </w:pPr>
      <w:r>
        <w:t xml:space="preserve">-----------------------------------</w:t>
      </w:r>
    </w:p>
    <w:p>
      <w:pPr>
        <w:pStyle w:val="Normal(Web)"/>
        <w:divId w:val="9"/>
        <w:jc w:val="center"/>
        <w:rPr>
          <w:vanish w:val="0"/>
        </w:rPr>
      </w:pPr>
      <w:r>
        <w:t xml:space="preserve">CHỦ TỊCH ỦY BAN NHÂN DÂN THÀNH PHỐ HÀ NỘI</w:t>
      </w:r>
    </w:p>
    <w:p>
      <w:pPr>
        <w:pStyle w:val="Normal(Web)"/>
        <w:divId w:val="10"/>
        <w:rPr>
          <w:vanish w:val="0"/>
        </w:rPr>
      </w:pPr>
      <w:r>
        <w:rPr>
          <w:i/>
        </w:rPr>
        <w:t xml:space="preserve">Căn cứ Luật Tổ chức HĐND và UBND ngày 26 tháng 11 năm 2003;</w:t>
      </w:r>
    </w:p>
    <w:p>
      <w:pPr>
        <w:pStyle w:val="Normal(Web)"/>
        <w:divId w:val="11"/>
        <w:rPr>
          <w:vanish w:val="0"/>
        </w:rPr>
      </w:pPr>
      <w:r>
        <w:rPr>
          <w:i/>
        </w:rPr>
        <w:t xml:space="preserve">Căn cứ Nghị định số </w:t>
      </w:r>
      <w:hyperlink r:id="rId3" w:history="1">
        <w:r>
          <w:rPr>
            <w:rStyle w:val="Hyperlink"/>
            <w:i/>
          </w:rPr>
          <w:t xml:space="preserve">63/2010/NĐ-CP </w:t>
        </w:r>
      </w:hyperlink>
      <w:r>
        <w:rPr>
          <w:i/>
        </w:rPr>
        <w:t xml:space="preserve"> ngày 08 tháng 6 năm 2010 của Chính phủ về kiểm soát thủ tục hành chính;</w:t>
      </w:r>
    </w:p>
    <w:p>
      <w:pPr>
        <w:pStyle w:val="Normal(Web)"/>
        <w:divId w:val="12"/>
        <w:rPr>
          <w:vanish w:val="0"/>
        </w:rPr>
      </w:pPr>
      <w:r>
        <w:rPr>
          <w:i/>
        </w:rPr>
        <w:t xml:space="preserve">Căn cứ Quyết định số 3511/QĐ-UBND ngày 28 tháng 7 năm 2011 của Chủ tịch Ủy ban nhân dân thành phố Hà Nội về việc ban hành quy chế phối hợp công bố, công khai thủ tục hành chính thuộc phạm vi thẩm quyền quản lý theo qui định tại Nghị định số 63/2010/NĐ-CP trên địa bàn thành phố Hà Nội;</w:t>
      </w:r>
    </w:p>
    <w:p>
      <w:pPr>
        <w:pStyle w:val="Normal(Web)"/>
        <w:divId w:val="13"/>
        <w:rPr>
          <w:vanish w:val="0"/>
        </w:rPr>
      </w:pPr>
      <w:r>
        <w:rPr>
          <w:i/>
        </w:rPr>
        <w:t xml:space="preserve">Xét đề nghị của Giám đốc Sở Công Thương và Chánh Văn phòng Ủy ban nhân dân Thành phố,</w:t>
      </w:r>
    </w:p>
    <w:p>
      <w:pPr>
        <w:pStyle w:val="Normal(Web)"/>
        <w:divId w:val="14"/>
        <w:jc w:val="center"/>
        <w:rPr>
          <w:vanish w:val="0"/>
        </w:rPr>
      </w:pPr>
      <w:r>
        <w:rPr>
          <w:b/>
        </w:rPr>
        <w:t xml:space="preserve">QUYẾT ĐỊNH:</w:t>
      </w:r>
    </w:p>
    <w:p>
      <w:pPr>
        <w:pStyle w:val="Normal(Web)"/>
        <w:divId w:val="15"/>
        <w:rPr>
          <w:vanish w:val="0"/>
        </w:rPr>
      </w:pPr>
      <w:r>
        <w:rPr>
          <w:b/>
        </w:rPr>
        <w:t xml:space="preserve">Điều 1.</w:t>
      </w:r>
      <w:r>
        <w:t xml:space="preserve"> Công bố kèm theo Quyết định này bãi bỏ hai (02) thủ tục hành chính trong lĩnh vực lưu thông hàng hóa trong nước thuộc thẩm quyền giải quyết của Sở Công Thương thành phố Hà Nội (có phụ lục kèm theo).</w:t>
      </w:r>
    </w:p>
    <w:p>
      <w:pPr>
        <w:pStyle w:val="Normal(Web)"/>
        <w:divId w:val="16"/>
        <w:rPr>
          <w:vanish w:val="0"/>
        </w:rPr>
      </w:pPr>
      <w:r>
        <w:rPr>
          <w:b/>
        </w:rPr>
        <w:t xml:space="preserve">Điều 2.</w:t>
      </w:r>
      <w:r>
        <w:t xml:space="preserve"> Quyết định này có hiệu lực thi hành kể từ ngày ký.</w:t>
      </w:r>
    </w:p>
    <w:p>
      <w:pPr>
        <w:pStyle w:val="Normal(Web)"/>
        <w:divId w:val="17"/>
        <w:rPr>
          <w:vanish w:val="0"/>
        </w:rPr>
      </w:pPr>
      <w:r>
        <w:rPr>
          <w:b/>
        </w:rPr>
        <w:t xml:space="preserve">Điều 3.</w:t>
      </w:r>
      <w:r>
        <w:t xml:space="preserve"> Chánh Văn phòng Ủy ban nhân dân Thành phố, Giám đốc các Sở, Thủ trưởng các ban, ngành thành phố; Chủ tịch Ủy ban nhân dân các quận, huyện, thị xã; Chủ tịch Ủy ban nhân dân các xã, phường, thị trấn; các tổ chức, cá nhân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8"/>
              <w:rPr>
                <w:vanish w:val="0"/>
              </w:rPr>
            </w:pPr>
            <w:r>
              <w:rPr>
                <w:b/>
                <w:i/>
              </w:rPr>
              <w:t xml:space="preserve">Nơi nhận:</w:t>
            </w:r>
            <w:r>
              <w:rPr>
                <w:b/>
                <w:i/>
              </w:rPr>
              <w:br/>
            </w:r>
            <w:r>
              <w:rPr>
                <w:b/>
                <w:i/>
              </w:rPr>
              <w:t xml:space="preserve"> </w:t>
            </w:r>
            <w:r>
              <w:t xml:space="preserve">- Như Điều 3;</w:t>
            </w:r>
            <w:r>
              <w:rPr/>
              <w:br/>
            </w:r>
            <w:r>
              <w:t xml:space="preserve">- Bộ Tư pháp;</w:t>
            </w:r>
            <w:r>
              <w:rPr/>
              <w:br/>
            </w:r>
            <w:r>
              <w:t xml:space="preserve">- Bộ Công Thương;</w:t>
            </w:r>
            <w:r>
              <w:rPr/>
              <w:br/>
            </w:r>
            <w:r>
              <w:t xml:space="preserve">- Cục kiểm soát TTHC (Bộ Tư pháp);</w:t>
            </w:r>
            <w:r>
              <w:rPr/>
              <w:br/>
            </w:r>
            <w:r>
              <w:t xml:space="preserve">- Thường trực: Thành ủy, HĐND TP;</w:t>
            </w:r>
            <w:r>
              <w:rPr/>
              <w:br/>
            </w:r>
            <w:r>
              <w:t xml:space="preserve">- Chủ tịch, các PCT UBND TP;</w:t>
            </w:r>
            <w:r>
              <w:rPr/>
              <w:br/>
            </w:r>
            <w:r>
              <w:t xml:space="preserve">- CVP/PVP UBND TP;</w:t>
            </w:r>
            <w:r>
              <w:rPr/>
              <w:br/>
            </w:r>
            <w:r>
              <w:t xml:space="preserve">- KSTTHC, CT, TH, HCTC;</w:t>
            </w:r>
            <w:r>
              <w:rPr/>
              <w:br/>
            </w:r>
            <w:r>
              <w:t xml:space="preserve">- Cổng thông tin điện tử TP;</w:t>
            </w:r>
            <w:r>
              <w:rPr/>
              <w:br/>
            </w:r>
            <w:r>
              <w:t xml:space="preserve">- Website, Công báo;</w:t>
            </w:r>
            <w:r>
              <w:rPr/>
              <w:br/>
            </w:r>
            <w:r>
              <w:t xml:space="preserve">- Lưu: VT, KSTTHC (2b).</w:t>
            </w:r>
          </w:p>
        </w:tc>
        <w:tc>
          <w:tcPr>
            <w:tcW w:w="0" w:type="auto"/>
            <w:shd w:val="clear" w:color="auto" w:fill="auto"/>
            <w:vAlign w:val="center"/>
          </w:tcPr>
          <w:p>
            <w:pPr>
              <w:pStyle w:val="Normal(Web)"/>
              <w:divId w:val="19"/>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Thế Thảo</w:t>
            </w:r>
          </w:p>
        </w:tc>
      </w:tr>
    </w:tbl>
    <w:p>
      <w:pPr>
        <w:pStyle w:val="Normal(Web)"/>
        <w:divId w:val="20"/>
        <w:jc w:val="center"/>
        <w:rPr>
          <w:vanish w:val="0"/>
        </w:rPr>
      </w:pPr>
      <w:r>
        <w:rPr>
          <w:b/>
        </w:rPr>
        <w:t xml:space="preserve">PHỤ LỤC</w:t>
      </w:r>
    </w:p>
    <w:p>
      <w:pPr>
        <w:pStyle w:val="Normal(Web)"/>
        <w:divId w:val="21"/>
        <w:jc w:val="center"/>
        <w:rPr>
          <w:vanish w:val="0"/>
        </w:rPr>
      </w:pPr>
      <w:r>
        <w:rPr>
          <w:i/>
        </w:rPr>
        <w:t xml:space="preserve">(Ban hành kèm theo Quyết định số 4748/QĐ-UBND ngày 09 tháng 08 năm 2013</w:t>
      </w:r>
    </w:p>
    <w:p>
      <w:pPr>
        <w:pStyle w:val="Normal(Web)"/>
        <w:divId w:val="22"/>
        <w:jc w:val="center"/>
        <w:rPr>
          <w:vanish w:val="0"/>
        </w:rPr>
      </w:pPr>
      <w:r>
        <w:rPr>
          <w:i/>
        </w:rPr>
        <w:t xml:space="preserve">của Chủ tịch UBND Thành phố Hà Nội)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3"/>
              <w:jc w:val="center"/>
              <w:rPr>
                <w:vanish w:val="0"/>
              </w:rPr>
            </w:pPr>
            <w:r>
              <w:rPr>
                <w:b/>
              </w:rPr>
              <w:t xml:space="preserve">TT</w:t>
            </w:r>
          </w:p>
        </w:tc>
        <w:tc>
          <w:tcPr>
            <w:tcW w:w="0" w:type="auto"/>
            <w:shd w:val="clear" w:color="auto" w:fill="auto"/>
            <w:vAlign w:val="center"/>
          </w:tcPr>
          <w:p>
            <w:pPr>
              <w:pStyle w:val="Normal(Web)"/>
              <w:divId w:val="24"/>
              <w:jc w:val="center"/>
              <w:rPr>
                <w:vanish w:val="0"/>
              </w:rPr>
            </w:pPr>
            <w:r>
              <w:rPr>
                <w:b/>
              </w:rPr>
              <w:t xml:space="preserve">TÊN THỦ TỤC HÀNH CHÍNH BỊ BÃI BỎ</w:t>
            </w:r>
          </w:p>
        </w:tc>
        <w:tc>
          <w:tcPr>
            <w:tcW w:w="0" w:type="auto"/>
            <w:shd w:val="clear" w:color="auto" w:fill="auto"/>
            <w:vAlign w:val="center"/>
          </w:tcPr>
          <w:p>
            <w:pPr>
              <w:pStyle w:val="Normal(Web)"/>
              <w:divId w:val="25"/>
              <w:jc w:val="center"/>
              <w:rPr>
                <w:vanish w:val="0"/>
              </w:rPr>
            </w:pPr>
            <w:r>
              <w:rPr>
                <w:b/>
              </w:rPr>
              <w:t xml:space="preserve">GHI CHÚ</w:t>
            </w:r>
          </w:p>
        </w:tc>
      </w:tr>
      <w:tr>
        <w:trPr>
          <w:jc w:val="left"/>
        </w:trPr>
        <w:tc>
          <w:tcPr>
            <w:tcW w:w="0" w:type="auto"/>
            <w:hMerge w:val="restart"/>
            <w:shd w:val="clear" w:color="auto" w:fill="auto"/>
            <w:vAlign w:val="center"/>
          </w:tcPr>
          <w:p>
            <w:pPr>
              <w:pStyle w:val="Normal(Web)"/>
              <w:divId w:val="26"/>
              <w:rPr>
                <w:vanish w:val="0"/>
              </w:rPr>
            </w:pPr>
            <w:r>
              <w:rPr>
                <w:b/>
              </w:rPr>
              <w:t xml:space="preserve">Lĩnh vực lưu thông hàng hóa trong nước</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27"/>
              <w:jc w:val="center"/>
              <w:rPr>
                <w:vanish w:val="0"/>
              </w:rPr>
            </w:pPr>
            <w:r>
              <w:t xml:space="preserve">1</w:t>
            </w:r>
          </w:p>
        </w:tc>
        <w:tc>
          <w:tcPr>
            <w:tcW w:w="0" w:type="auto"/>
            <w:shd w:val="clear" w:color="auto" w:fill="auto"/>
            <w:vAlign w:val="center"/>
          </w:tcPr>
          <w:p>
            <w:pPr>
              <w:pStyle w:val="Normal(Web)"/>
              <w:divId w:val="28"/>
              <w:rPr>
                <w:vanish w:val="0"/>
              </w:rPr>
            </w:pPr>
            <w:r>
              <w:t xml:space="preserve">Cấp giấy chứng nhận cửa hàng, quầy rau đủ điều kiện kinh doanh rau an toàn (RAT).</w:t>
            </w:r>
          </w:p>
          <w:p>
            <w:pPr>
              <w:pStyle w:val="Normal(Web)"/>
              <w:divId w:val="29"/>
              <w:rPr>
                <w:vanish w:val="0"/>
              </w:rPr>
            </w:pPr>
            <w:r>
              <w:t xml:space="preserve">- Mã thủ tục hành chính: </w:t>
            </w:r>
            <w:r>
              <w:rPr>
                <w:b/>
              </w:rPr>
              <w:t xml:space="preserve">T-HNO-194165</w:t>
            </w:r>
            <w:r>
              <w:t xml:space="preserve">-TT</w:t>
            </w:r>
          </w:p>
        </w:tc>
        <w:tc>
          <w:tcPr>
            <w:tcW w:w="0" w:type="auto"/>
            <w:vMerge w:val="restart"/>
            <w:shd w:val="clear" w:color="auto" w:fill="auto"/>
            <w:vAlign w:val="center"/>
          </w:tcPr>
          <w:p>
            <w:pPr>
              <w:pStyle w:val="Normal(Web)"/>
              <w:divId w:val="30"/>
              <w:rPr>
                <w:vanish w:val="0"/>
              </w:rPr>
            </w:pPr>
            <w:r>
              <w:t xml:space="preserve">- Mục 3 - Điều 63 Luật An toàn thực phẩm số </w:t>
            </w:r>
            <w:hyperlink r:id="rId4" w:history="1">
              <w:r>
                <w:rPr>
                  <w:rStyle w:val="Hyperlink"/>
                </w:rPr>
                <w:t xml:space="preserve">55/2010/QH12 </w:t>
              </w:r>
            </w:hyperlink>
            <w:r>
              <w:t xml:space="preserve"> ngày 17/6/2010 của Quốc hội quy định trách nhiệm của Bộ Nông nghiệp và Phát triển nông thôn Quản lý an toàn thực phẩm trong suốt quá trình sản xuất, thu gom, giết mổ, sơ chế, chế biến, bảo quản, vận chuyển, xuất khẩu, nhập khẩu, kinh doanh đối với ngũ cốc, thịt và các sản phẩm từ thịt, ...</w:t>
            </w:r>
          </w:p>
          <w:p>
            <w:pPr>
              <w:pStyle w:val="Normal(Web)"/>
              <w:divId w:val="31"/>
              <w:rPr>
                <w:vanish w:val="0"/>
              </w:rPr>
            </w:pPr>
            <w:r>
              <w:t xml:space="preserve">- Mục 5 - Điều 21 Nghị định số 38/2012/NĐ-CP ngày 25/4/2012 của Chính phủ quy định trách nhiệm quản lý Nhà nước về an toàn thực phẩm của Bộ Nông nghiệp và Phát triển nông thôn tổ chức và phân cấp việc cấp giấy chứng nhận cơ sở đủ điều kiện an toàn thực phẩm cho các tổ chức, cá nhân sản xuất, kinh doanh các sản phẩm thuộc lĩnh vực được phân công cụ thể:</w:t>
            </w:r>
          </w:p>
          <w:p>
            <w:pPr>
              <w:pStyle w:val="Normal(Web)"/>
              <w:divId w:val="32"/>
              <w:rPr>
                <w:vanish w:val="0"/>
              </w:rPr>
            </w:pPr>
            <w:r>
              <w:t xml:space="preserve">+ Quản lý an toàn thực phẩm đối với sản xuất ban đầu nông, lâm, thủy sản, ...</w:t>
            </w:r>
          </w:p>
          <w:p>
            <w:pPr>
              <w:pStyle w:val="Normal(Web)"/>
              <w:divId w:val="33"/>
              <w:rPr>
                <w:vanish w:val="0"/>
              </w:rPr>
            </w:pPr>
            <w:r>
              <w:t xml:space="preserve">+ Quản lý an toàn thực phẩm trong suốt quá trình sản xuất, thu gom, giết mổ, sơ chế, chế biến, bảo quản, vận chuyển, xuất khẩu, nhập khẩu, kinh doanh đối với ngũ cốc; thịt và các sản phẩm từ thịt; ....</w:t>
            </w:r>
          </w:p>
          <w:p>
            <w:pPr>
              <w:pStyle w:val="Normal(Web)"/>
              <w:divId w:val="34"/>
              <w:rPr>
                <w:vanish w:val="0"/>
              </w:rPr>
            </w:pPr>
            <w:r>
              <w:t xml:space="preserve">+ Quản lý an toàn thực phẩm đối với các chợ đầu mối, đấu giá nông sản.</w:t>
            </w:r>
          </w:p>
        </w:tc>
      </w:tr>
      <w:tr>
        <w:trPr>
          <w:jc w:val="left"/>
        </w:trPr>
        <w:tc>
          <w:tcPr>
            <w:tcW w:w="0" w:type="auto"/>
            <w:shd w:val="clear" w:color="auto" w:fill="auto"/>
            <w:vAlign w:val="center"/>
          </w:tcPr>
          <w:p>
            <w:pPr>
              <w:pStyle w:val="Normal(Web)"/>
              <w:divId w:val="35"/>
              <w:jc w:val="center"/>
              <w:rPr>
                <w:vanish w:val="0"/>
              </w:rPr>
            </w:pPr>
            <w:r>
              <w:t xml:space="preserve">2</w:t>
            </w:r>
          </w:p>
        </w:tc>
        <w:tc>
          <w:tcPr>
            <w:tcW w:w="0" w:type="auto"/>
            <w:shd w:val="clear" w:color="auto" w:fill="auto"/>
            <w:vAlign w:val="center"/>
          </w:tcPr>
          <w:p>
            <w:pPr>
              <w:pStyle w:val="Normal(Web)"/>
              <w:divId w:val="36"/>
              <w:rPr>
                <w:vanish w:val="0"/>
              </w:rPr>
            </w:pPr>
            <w:r>
              <w:t xml:space="preserve">Cấp giấy chứng nhận đủ điều kiện kinh doanh gia cầm mổ sẵn và sản phẩm gia cầm sạch.</w:t>
            </w:r>
          </w:p>
          <w:p>
            <w:pPr>
              <w:pStyle w:val="Normal(Web)"/>
              <w:divId w:val="37"/>
              <w:rPr>
                <w:vanish w:val="0"/>
              </w:rPr>
            </w:pPr>
            <w:r>
              <w:t xml:space="preserve">- Mã thủ tục hành chính: </w:t>
            </w:r>
            <w:r>
              <w:rPr>
                <w:b/>
              </w:rPr>
              <w:t xml:space="preserve">T-HNO-194166</w:t>
            </w:r>
            <w:r>
              <w:t xml:space="preserve">-TT</w:t>
            </w:r>
          </w:p>
        </w:tc>
        <w:tc>
          <w:tcPr>
            <w:tcW w:w="0" w:type="auto"/>
            <w:vMerge/>
            <w:shd w:val="clear" w:color="auto" w:fill="auto"/>
            <w:vAlign w:val="center"/>
          </w:tcPr>
          <w:p>
            <w:pP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3-2010-nd-cp--ve-kiem-soat-thu-tuc-hanh-chinh.aspx" TargetMode="External" /><Relationship Id="rId4" Type="http://schemas.openxmlformats.org/officeDocument/2006/relationships/hyperlink" Target="/luat-an-toan-thuc-pham-so-55-2010-qh12.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2022-06-21T17:01:51Z</dcterms:created>
  <dcterms:modified xsi:type="dcterms:W3CDTF">2022-06-21T17:01:51Z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2022-06-21T17:01:51Z</dcterms:created>
  <dcterms:modified xsi:type="dcterms:W3CDTF">2022-06-21T17:01:51Z</dcterms:modified>
</cp:coreProperties>
</file>