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44/2009/QĐ-TTg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3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Phương án khẩn nguy tổng thể đối phó với hành vi </w:t>
      </w:r>
      <w:r>
        <w:t xml:space="preserve">can thiệp bất hợp pháp vào hoạt động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TƯỚNG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Hàng không dân dụng Việt Nam ngày 12 tháng 7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Giao thông vận tải,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Phương án khẩn nguy tổng thể đối phó với hành vi can thiệp bất hợp pháp vào hoạt động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Quyết định này có hiệu lực thi hành sau 45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Các Bộ trưởng, Thủ trưởng cơ quan ngang Bộ, Thủ trưởng cơ quan thuộc Chính phủ, Chủ tịch Ủy ban nhân dân các tỉnh, thành phố trực thuộc Trung ương và Thủ trưởng các cơ quan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2022-06-21T16:49:39Z</dcterms:created>
  <dcterms:modified xsi:type="dcterms:W3CDTF">2022-06-21T16:49:39Z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2022-06-21T16:49:39Z</dcterms:created>
  <dcterms:modified xsi:type="dcterms:W3CDTF">2022-06-21T16:49:39Z</dcterms:modified>
</cp:coreProperties>
</file>