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CỦA HỘIĐỒNG BỘ TRƯỞNG SỐ 193-HĐBT NGÀY 9 THÁNG 12 NĂM 1982 VỀ VIỆC THÀNH LẬP HUYỆNTRƯỜNG SA THUỘC TỈNH ĐỒNG NAI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HỘI ĐỒNG BỘ TRƯỞNG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điều 107 củaHiến pháp nước Cộng hoà xã hội chủ nghĩa Việt Nam;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điều 16 củaLuật tổ chức Hội đồng bộ trưởng ngâày 4-7-1981;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Theo đề nghị của Uỷban nhân dân tỉnh Đồng Nai và Ban tổ chức của Chính phủ,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1.-</w:t>
      </w:r>
      <w:r>
        <w:t xml:space="preserve"> Thành lập huyện Trường Sathuộc tỉnh Đồng Nai bao gồm toàn bộ khu vực quần đảo Trường Sa trước đây thuộchuyện Long Đất tỉnh Đồng Nai.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2.-</w:t>
      </w:r>
      <w:r>
        <w:t xml:space="preserve"> Uỷ ban nhân dân tỉnh Đồng Naivà Ban tổ chức của Chính phủ chịu trách nhiệm thi hành quyết định này.</w:t>
      </w:r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2022-06-21T16:25:19Z</dcterms:created>
  <dcterms:modified xsi:type="dcterms:W3CDTF">2022-06-21T16:25:19Z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2022-06-21T16:25:19Z</dcterms:created>
  <dcterms:modified xsi:type="dcterms:W3CDTF">2022-06-21T16:25:19Z</dcterms:modified>
</cp:coreProperties>
</file>