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ĐẮK NÔNG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Đắk Nông, ngày 04 tháng 12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ĐỊNHGIÁ GỖ TRÒN, GỖ XẺ, LÂM SẢN NGOÀI GỖ VÀ ĐỘNG VẬT RỪNG TRÊN ĐỊA BÀN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của Hội đồng nhân dân, Uỷ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tài nguyên ngày 25/11/2009;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50/2010/NĐ-CP </w:t>
        </w:r>
      </w:hyperlink>
      <w:r>
        <w:rPr>
          <w:i/>
        </w:rPr>
        <w:t xml:space="preserve"> ngày14/5/2010 của Chính phủ quy định chi tiết thi hành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99/2009/NĐ-CP </w:t>
        </w:r>
      </w:hyperlink>
      <w:r>
        <w:rPr>
          <w:i/>
        </w:rPr>
        <w:t xml:space="preserve"> ngày02/11/2009 của Chính phủ về xử phạt vi phạm hành chính trong lĩnh vực quản lýrừng, bảo vệ rừng và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105/2010/TT-BTC ngày23/7/2010 của Bộ Tài chính hướng dẫn thi hành một số điều của Luật Thuế tàinguyên và hướng dẫn thi hành Nghị định số 50/2010/NĐ-CP ngày 14/5/2010 của Chínhphủ quy định chi tiết và hướng dẫn một số điều của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 tỉnhĐắk Nông tại Tờ trình số 279/TTr-STC ngày 26 tháng 10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giá gỗ tròn, gỗ xẻ, lâmsản ngoài gỗ và động vật rừng trên địa bàn tỉnh Đắk Nông (chi tiết theo Phụ lụcđính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Tính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Làm cơ sở để Hội đồng định giá xác định giákhởi điểm để bán đấu giá tịch thu sung quỹ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Làm cơ sở xử lý tang vật và cá nhân, tổ chứcvi phạm hành chính trong lĩnh vực quản lý rừng, bảo vệ rừng và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Làm cơ sở để Hội đồng định giá xác định giákhởi điểm để bán đấu giá gỗ tròn khai thác từ rừng tự nhiên và bán không quađấu giá cho công tác phòng chống thiên tai, các nhu cầu khác theo chỉ đạo củaUBND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thihành kể từ ngày 01 tháng 01 năm 2013 và thay thế Quyết định số 240/QĐ-UBND ngày20/02/2012 của Chủ tịch Ủy ban nhân dân tỉnh Đắk Nông về việc ban hành tạm thờigiá gỗ tròn, gỗ xẻ, lâm sản ngoài gỗ và động vật rừng trên địa bàn tỉnh ĐắkNông.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 đốc các Sở: Tàichính, Nông nghiệp và Phát triển nông thôn, Tài nguyên và Môi trường; Cụctrưởng Cục Thuế tỉnh; Chủ tịch UBND các huyện, thị xã; Thủ trưởng các đơn vị vàcá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TM.ỦY BAN NHÂN DÂN</w:t>
            </w:r>
            <w:r>
              <w:rPr>
                <w:b/>
              </w:rPr>
              <w:br/>
            </w:r>
            <w:r>
              <w:rPr>
                <w:b/>
              </w:rPr>
              <w:t xml:space="preserve">CHỦ TỊCH</w:t>
            </w:r>
            <w:r>
              <w:rPr>
                <w:b/>
              </w:rPr>
              <w:br/>
            </w:r>
            <w:r>
              <w:rPr>
                <w:b/>
              </w:rPr>
              <w:br/>
            </w:r>
            <w:r>
              <w:rPr>
                <w:b/>
              </w:rPr>
              <w:br/>
            </w:r>
            <w:r>
              <w:rPr>
                <w:b/>
              </w:rPr>
              <w:br/>
            </w:r>
            <w:r>
              <w:rPr>
                <w:b/>
              </w:rPr>
              <w:br/>
            </w:r>
            <w:r>
              <w:rPr>
                <w:b/>
              </w:rPr>
              <w:t xml:space="preserve">Lê Diễn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GIÁ GỖ TRÒN,GỖ XẺ, LÂM SẢN NGOÀI GỖ VÀ ĐỘNG VẬT RỪNG TRÊN ĐỊA BÀN TỈNH ĐẮK NÔNG</w:t>
      </w:r>
      <w:r>
        <w:rPr/>
        <w:br/>
      </w:r>
      <w:r>
        <w:rPr>
          <w:i/>
        </w:rPr>
        <w:t xml:space="preserve">(Kèm theo Quyết định số 21/2012/QĐ-UBND ngày 04 tháng 12 năm 2012 của UBND tỉnhĐắk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Gỗ thông thường: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loại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Gỗ tròn đường kính từ 35 cm trở lên, dài trên 1 mét (đồng/m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Gỗ xẻ các quy cách dài từ 3 mét trở lên (đồng/m</w:t>
            </w:r>
            <w:r>
              <w:rPr>
                <w:b/>
                <w:vertAlign w:val="superscript"/>
              </w:rPr>
              <w:t xml:space="preserve">3</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Muồng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Căm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Kiền kiền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Vên vên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gió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chít, Chò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III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các loại, Bạch tùng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Sến bo bo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IV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đỏ, Dầu nước, Dải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V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VI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Trám Hồng, Xoan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VI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VII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Gáo vàng, Trám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VII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VIII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VIII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gỗ Căm xe: Gốc, rễ tính bằng 50% mức giágỗ chính phẩm có đường kính từ 35 cm trở lên, chiều dài trên 01 mét và cáchtính khối lượng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- 1.000 kg được tính bằng 01 m</w:t>
      </w:r>
      <w:r>
        <w:rPr>
          <w:vertAlign w:val="superscript"/>
        </w:rPr>
        <w:t xml:space="preserve">3</w:t>
      </w:r>
      <w:r>
        <w:t xml:space="preserve"> gỗtròn.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Ster được tính bằng 0,7 m</w:t>
      </w:r>
      <w:r>
        <w:rPr>
          <w:vertAlign w:val="superscript"/>
        </w:rPr>
        <w:t xml:space="preserve">3</w:t>
      </w:r>
      <w:r>
        <w:t xml:space="preserve"> gỗtròn.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nguyên tắc áp dụng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gỗ quy định trên áp dụng cho gỗ có chấtlượng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gỗ tròn có đường kính dưới 35cm,chiều dài trên 01 mét được tính bằng 80%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gỗ xẻ: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Gỗ xẻ các quy cách có chiều dài từ 02 mét đếndưới 03 mét được tính bằng 80%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Gỗ xẻ các quy cách có chiều dài dưới 02 métđược tính bằng 60%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gỗ tận thu, tận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gỗ tận dụng là phần cành, ngọn trongkhai thác chính và các loại gỗ tận thu (gỗ khô lục, lóc lõi, gỗ cháy: gồm lóng,khúc, bì bắp, gốc, rễ) còn nằm trên đất rừng sản xuất, trên nương rẫy bỏ hoanghoặc đất nông nghiệp ổn định được tính bằng 50% giá gỗ tròn chính phẩm theotừng cấp tính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gỗ khai thác tận dụng (như khai tháctrắng để lấy mặt bằng xây dựng công trình; gỗ trên các tuyến đường vận xuất,vận chuyển trong khai thác chính; cây chết đứng, chết khô, chết cháy, cây gỗđứng còn mọc rải rác trên nương rẫy cố định); gỗ trục vớt từ lòng hồ, sông suốiđược tính bằng 85% mức giá gỗ chính phẩm theo từng cấp tính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Giá bán gỗ quý hiếm tịch thu sung quỹ Nhànước: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(đồng/m</w:t>
            </w:r>
            <w:r>
              <w:rPr>
                <w:b/>
                <w:vertAlign w:val="superscript"/>
              </w:rPr>
              <w:t xml:space="preserve">3</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Pơ mu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lai, Cẩm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Gốc, rễ tính bằng 50% mức giá gỗ chính phẩmtrên và cách tính khối lượng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- 1.000 kg được tính bằng 01 m</w:t>
      </w:r>
      <w:r>
        <w:rPr>
          <w:vertAlign w:val="superscript"/>
        </w:rPr>
        <w:t xml:space="preserve">3</w:t>
      </w:r>
      <w:r>
        <w:t xml:space="preserve"> gỗtròn.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 Ster được tính bằng 0,7 m</w:t>
      </w:r>
      <w:r>
        <w:rPr>
          <w:vertAlign w:val="superscript"/>
        </w:rPr>
        <w:t xml:space="preserve">3</w:t>
      </w:r>
      <w:r>
        <w:t xml:space="preserve"> gỗtròn.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áp dụng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gỗ quy định trên áp dụng cho gỗ tròn,phách, hộp, xẻ chất lượng 100%, có đường kính hoặc mặt rộng từ 30cm trở lên,dài từ 2 mét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Gỗ có đường kính hoặc mặt rộng từ 30cm trởlên và chiều dài dưới 2 mét được tính bằng 80%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Gỗ có đường kính hoặc mặt rộng nhỏ hơn 30cm,chiều dài từ 2 mét trở lên được tính bằng 80%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Gỗ có đường kính hoặc mặt rộng nhỏ hơn 30cmvà chiều dài nhỏ hơn 2 mét tính bằng 64% mức giá quy định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Lâm sản ngoài gỗ và động vật rừng: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Lâm sản ngoài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đắng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cục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nhân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Bời lời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Rái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Dăm bột nhang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Dăm gỗ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Dăm gỗ quý hiếm nhóm II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Lồ 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Nứa,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ươi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Cà na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Sấu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Riềng rừng (Riềng gió)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Đác (Đoóc) cây, cành,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Kè (cọ)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Tinh dầu Xá xị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Mây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đá, song tàu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Mây nước, mây rã, mây sáo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củi loại 1 (than 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củi loại 2 (than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Động vật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Chồn, Cầy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 tê (Trút)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thịt, da, lông, xương của các loại thú lớn như: Heo rừng, Nai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thịt, da, lông, xương của các loại thú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Mèo rừng, Cheo cheo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Nhím, dúi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 rừng và thú nhỏ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Chim quý hiếm nhóm IB, IIB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Chim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Chim các loại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núi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các loại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Ba (Cua Đinh)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đà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Trăn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Kè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Tôm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Hổ mang chúa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nhóm II B và các loại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 trùng, Bọ cánh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loại lâm sản và động vật rừng khác khôngcó trong bảng giá này thì được cơ quan có thẩm quyền định giá theo quy định củapháp luật./.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0-2010-nd-cp-cua-chinh-phu---quy-dinh-chi-tiet-va-huong-dan-thi-hanh-mot-so-dieu-cua-luat-thue-tai-nguyen.aspx" TargetMode="External" /><Relationship Id="rId4" Type="http://schemas.openxmlformats.org/officeDocument/2006/relationships/hyperlink" Target="/nghi-dinh-so-99-2009-nd-cp-cua-chinh-phu---ve-xu-phat-vi-pham-hanh-chinh-trong-linh-vuc-quan-ly-rung--bao-ve-rung-va-quan-ly-lam-s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2022-06-21T07:27:04Z</dcterms:created>
  <dcterms:modified xsi:type="dcterms:W3CDTF">2022-06-21T07:27:04Z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2022-06-21T07:27:04Z</dcterms:created>
  <dcterms:modified xsi:type="dcterms:W3CDTF">2022-06-21T07:27:04Z</dcterms:modified>
</cp:coreProperties>
</file>